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WithEffects.xml" ContentType="application/vnd.ms-word.stylesWithEffect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settings.xml" ContentType="application/vnd.openxmlformats-officedocument.wordprocessingml.settings+xml"/>
  <Override PartName="/word/fontTable.xml" ContentType="application/vnd.openxmlformats-officedocument.wordprocessingml.fontTable+xml"/>
  <Override PartName="/word/stylesWithEffects.xml" ContentType="application/vnd.ms-word.stylesWithEffects+xml"/>
  <Override PartName="/word/footer1.xml" ContentType="application/vnd.openxmlformats-officedocument.wordprocessingml.footer+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D5C" w:rsidRPr="00747DEE" w:rsidRDefault="00493D5C" w:rsidP="00493D5C">
      <w:pPr>
        <w:pStyle w:val="Normaltindrag"/>
        <w:ind w:left="0"/>
        <w:rPr>
          <w:rFonts w:asciiTheme="majorHAnsi" w:hAnsiTheme="majorHAnsi" w:cstheme="majorHAnsi"/>
          <w:b/>
          <w:sz w:val="21"/>
          <w:szCs w:val="21"/>
          <w:lang w:val="en-US"/>
        </w:rPr>
      </w:pPr>
      <w:bookmarkStart w:id="0" w:name="_GoBack"/>
      <w:bookmarkEnd w:id="0"/>
      <w:r w:rsidRPr="00747DEE">
        <w:rPr>
          <w:rFonts w:asciiTheme="majorHAnsi" w:hAnsiTheme="majorHAnsi" w:cstheme="majorHAnsi"/>
          <w:b/>
          <w:sz w:val="21"/>
          <w:szCs w:val="21"/>
          <w:lang w:val="en-US"/>
        </w:rPr>
        <w:t>T</w:t>
      </w:r>
      <w:r w:rsidR="00E348AA" w:rsidRPr="00747DEE">
        <w:rPr>
          <w:rFonts w:asciiTheme="majorHAnsi" w:hAnsiTheme="majorHAnsi" w:cstheme="majorHAnsi"/>
          <w:b/>
          <w:sz w:val="21"/>
          <w:szCs w:val="21"/>
          <w:lang w:val="en-US"/>
        </w:rPr>
        <w:t xml:space="preserve">he board’s proposal to adopt guidelines for remuneration to the senior management </w:t>
      </w:r>
    </w:p>
    <w:p w:rsidR="000921A1" w:rsidRPr="00747DEE" w:rsidRDefault="000921A1" w:rsidP="000921A1">
      <w:pPr>
        <w:pStyle w:val="Nr-Rubrik1"/>
        <w:rPr>
          <w:rFonts w:cstheme="majorHAnsi"/>
          <w:sz w:val="20"/>
          <w:szCs w:val="20"/>
          <w:lang w:val="en-US"/>
        </w:rPr>
      </w:pPr>
      <w:r w:rsidRPr="00747DEE">
        <w:rPr>
          <w:rFonts w:cstheme="majorHAnsi"/>
          <w:sz w:val="20"/>
          <w:szCs w:val="20"/>
          <w:lang w:val="en-US"/>
        </w:rPr>
        <w:t>Introduction</w:t>
      </w:r>
    </w:p>
    <w:p w:rsidR="00493D5C" w:rsidRPr="00747DEE" w:rsidRDefault="00493D5C" w:rsidP="00F26BE2">
      <w:pPr>
        <w:pStyle w:val="Styckenr11"/>
        <w:numPr>
          <w:ilvl w:val="0"/>
          <w:numId w:val="0"/>
        </w:numPr>
        <w:ind w:left="907"/>
        <w:rPr>
          <w:rFonts w:asciiTheme="majorHAnsi" w:hAnsiTheme="majorHAnsi" w:cstheme="majorHAnsi"/>
          <w:sz w:val="20"/>
          <w:szCs w:val="20"/>
          <w:lang w:val="en-US"/>
        </w:rPr>
      </w:pPr>
      <w:r w:rsidRPr="00747DEE">
        <w:rPr>
          <w:rFonts w:asciiTheme="majorHAnsi" w:hAnsiTheme="majorHAnsi" w:cstheme="majorHAnsi"/>
          <w:sz w:val="20"/>
          <w:szCs w:val="20"/>
          <w:lang w:val="en-US"/>
        </w:rPr>
        <w:t xml:space="preserve">The board of directors of </w:t>
      </w:r>
      <w:r w:rsidR="000921A1" w:rsidRPr="00747DEE">
        <w:rPr>
          <w:rFonts w:asciiTheme="majorHAnsi" w:hAnsiTheme="majorHAnsi" w:cstheme="majorHAnsi"/>
          <w:sz w:val="20"/>
          <w:szCs w:val="20"/>
          <w:lang w:val="en-US"/>
        </w:rPr>
        <w:t>Green Landscaping Holding AB (</w:t>
      </w:r>
      <w:proofErr w:type="spellStart"/>
      <w:r w:rsidR="000921A1" w:rsidRPr="00747DEE">
        <w:rPr>
          <w:rFonts w:asciiTheme="majorHAnsi" w:hAnsiTheme="majorHAnsi" w:cstheme="majorHAnsi"/>
          <w:sz w:val="20"/>
          <w:szCs w:val="20"/>
          <w:lang w:val="en-US"/>
        </w:rPr>
        <w:t>publ</w:t>
      </w:r>
      <w:proofErr w:type="spellEnd"/>
      <w:r w:rsidR="000921A1" w:rsidRPr="00747DEE">
        <w:rPr>
          <w:rFonts w:asciiTheme="majorHAnsi" w:hAnsiTheme="majorHAnsi" w:cstheme="majorHAnsi"/>
          <w:sz w:val="20"/>
          <w:szCs w:val="20"/>
          <w:lang w:val="en-US"/>
        </w:rPr>
        <w:t>), reg. no 556771-3465 (the “</w:t>
      </w:r>
      <w:r w:rsidR="000921A1" w:rsidRPr="00747DEE">
        <w:rPr>
          <w:rFonts w:asciiTheme="majorHAnsi" w:hAnsiTheme="majorHAnsi" w:cstheme="majorHAnsi"/>
          <w:b/>
          <w:sz w:val="20"/>
          <w:szCs w:val="20"/>
          <w:lang w:val="en-US"/>
        </w:rPr>
        <w:t>Company</w:t>
      </w:r>
      <w:r w:rsidR="000921A1" w:rsidRPr="00747DEE">
        <w:rPr>
          <w:rFonts w:asciiTheme="majorHAnsi" w:hAnsiTheme="majorHAnsi" w:cstheme="majorHAnsi"/>
          <w:sz w:val="20"/>
          <w:szCs w:val="20"/>
          <w:lang w:val="en-US"/>
        </w:rPr>
        <w:t>”),</w:t>
      </w:r>
      <w:r w:rsidRPr="00747DEE">
        <w:rPr>
          <w:rFonts w:asciiTheme="majorHAnsi" w:hAnsiTheme="majorHAnsi" w:cstheme="majorHAnsi"/>
          <w:sz w:val="20"/>
          <w:szCs w:val="20"/>
          <w:lang w:val="en-US"/>
        </w:rPr>
        <w:t xml:space="preserve"> proposes that the </w:t>
      </w:r>
      <w:r w:rsidR="000921A1" w:rsidRPr="00747DEE">
        <w:rPr>
          <w:rFonts w:asciiTheme="majorHAnsi" w:hAnsiTheme="majorHAnsi" w:cstheme="majorHAnsi"/>
          <w:sz w:val="20"/>
          <w:szCs w:val="20"/>
          <w:lang w:val="en-US"/>
        </w:rPr>
        <w:t xml:space="preserve">annual </w:t>
      </w:r>
      <w:r w:rsidRPr="00747DEE">
        <w:rPr>
          <w:rFonts w:asciiTheme="majorHAnsi" w:hAnsiTheme="majorHAnsi" w:cstheme="majorHAnsi"/>
          <w:sz w:val="20"/>
          <w:szCs w:val="20"/>
          <w:lang w:val="en-US"/>
        </w:rPr>
        <w:t>general meeting resolves on the adoption of guidelines for remuneration and other employment conditions for the senior management, as set forth below. The guidelines also apply to board members in so far as they receive remuneration for services provided to the group outside of the scope of the board assignment.</w:t>
      </w:r>
    </w:p>
    <w:p w:rsidR="00493D5C" w:rsidRPr="00747DEE" w:rsidRDefault="00493D5C" w:rsidP="000921A1">
      <w:pPr>
        <w:pStyle w:val="Nr-Rubrik1"/>
        <w:rPr>
          <w:rFonts w:cstheme="majorHAnsi"/>
          <w:sz w:val="20"/>
          <w:szCs w:val="20"/>
          <w:lang w:val="en-US"/>
        </w:rPr>
      </w:pPr>
      <w:r w:rsidRPr="00747DEE">
        <w:rPr>
          <w:rFonts w:cstheme="majorHAnsi"/>
          <w:sz w:val="20"/>
          <w:szCs w:val="20"/>
          <w:lang w:val="en-US"/>
        </w:rPr>
        <w:t>Remuneration</w:t>
      </w:r>
    </w:p>
    <w:p w:rsidR="00493D5C" w:rsidRPr="00747DEE" w:rsidRDefault="00493D5C" w:rsidP="000921A1">
      <w:pPr>
        <w:pStyle w:val="Styckenr11"/>
        <w:rPr>
          <w:rFonts w:asciiTheme="majorHAnsi" w:hAnsiTheme="majorHAnsi" w:cstheme="majorHAnsi"/>
          <w:sz w:val="20"/>
          <w:szCs w:val="20"/>
          <w:lang w:val="en-US"/>
        </w:rPr>
      </w:pPr>
      <w:r w:rsidRPr="00747DEE">
        <w:rPr>
          <w:rFonts w:asciiTheme="majorHAnsi" w:hAnsiTheme="majorHAnsi" w:cstheme="majorHAnsi"/>
          <w:sz w:val="20"/>
          <w:szCs w:val="20"/>
          <w:lang w:val="en-US"/>
        </w:rPr>
        <w:t xml:space="preserve">The main </w:t>
      </w:r>
      <w:r w:rsidR="00366977" w:rsidRPr="00747DEE">
        <w:rPr>
          <w:rFonts w:asciiTheme="majorHAnsi" w:hAnsiTheme="majorHAnsi" w:cstheme="majorHAnsi"/>
          <w:sz w:val="20"/>
          <w:szCs w:val="20"/>
          <w:lang w:val="en-US"/>
        </w:rPr>
        <w:t>rule</w:t>
      </w:r>
      <w:r w:rsidRPr="00747DEE">
        <w:rPr>
          <w:rFonts w:asciiTheme="majorHAnsi" w:hAnsiTheme="majorHAnsi" w:cstheme="majorHAnsi"/>
          <w:sz w:val="20"/>
          <w:szCs w:val="20"/>
          <w:lang w:val="en-US"/>
        </w:rPr>
        <w:t xml:space="preserve"> is that remuneration and other employment conditions for members of the senior manage</w:t>
      </w:r>
      <w:r w:rsidRPr="00747DEE">
        <w:rPr>
          <w:rFonts w:asciiTheme="majorHAnsi" w:hAnsiTheme="majorHAnsi" w:cstheme="majorHAnsi"/>
          <w:sz w:val="20"/>
          <w:szCs w:val="20"/>
          <w:lang w:val="en-US"/>
        </w:rPr>
        <w:softHyphen/>
        <w:t xml:space="preserve">ment shall be </w:t>
      </w:r>
      <w:r w:rsidR="00366977" w:rsidRPr="00747DEE">
        <w:rPr>
          <w:rFonts w:asciiTheme="majorHAnsi" w:hAnsiTheme="majorHAnsi" w:cstheme="majorHAnsi"/>
          <w:sz w:val="20"/>
          <w:szCs w:val="20"/>
          <w:lang w:val="en-US"/>
        </w:rPr>
        <w:t xml:space="preserve">competitive and </w:t>
      </w:r>
      <w:r w:rsidRPr="00747DEE">
        <w:rPr>
          <w:rFonts w:asciiTheme="majorHAnsi" w:hAnsiTheme="majorHAnsi" w:cstheme="majorHAnsi"/>
          <w:sz w:val="20"/>
          <w:szCs w:val="20"/>
          <w:lang w:val="en-US"/>
        </w:rPr>
        <w:t>based on market terms in order to ensure that the group can attract and retain competent members of the senior management at a reasonable cost for the company.</w:t>
      </w:r>
    </w:p>
    <w:p w:rsidR="00493D5C" w:rsidRPr="00747DEE" w:rsidRDefault="00493D5C" w:rsidP="00366977">
      <w:pPr>
        <w:pStyle w:val="Styckenr11"/>
        <w:rPr>
          <w:rFonts w:asciiTheme="majorHAnsi" w:hAnsiTheme="majorHAnsi" w:cstheme="majorHAnsi"/>
          <w:sz w:val="20"/>
          <w:szCs w:val="20"/>
          <w:lang w:val="en-US"/>
        </w:rPr>
      </w:pPr>
      <w:r w:rsidRPr="00747DEE">
        <w:rPr>
          <w:rFonts w:asciiTheme="majorHAnsi" w:hAnsiTheme="majorHAnsi" w:cstheme="majorHAnsi"/>
          <w:sz w:val="20"/>
          <w:szCs w:val="20"/>
          <w:lang w:val="en-US"/>
        </w:rPr>
        <w:t xml:space="preserve">The total remuneration for the senior management shall consist of fixed salary, variable remuneration, pension and other benefits. In order to avoid that the senior management is encouraged to take inappropriate risks, there shall be a fundamental balance between fixed and variable remuneration. The fixed salary shall </w:t>
      </w:r>
      <w:r w:rsidR="00366977" w:rsidRPr="00747DEE">
        <w:rPr>
          <w:rFonts w:asciiTheme="majorHAnsi" w:hAnsiTheme="majorHAnsi" w:cstheme="majorHAnsi"/>
          <w:sz w:val="20"/>
          <w:szCs w:val="20"/>
          <w:lang w:val="en-US"/>
        </w:rPr>
        <w:t>therefore</w:t>
      </w:r>
      <w:r w:rsidRPr="00747DEE">
        <w:rPr>
          <w:rFonts w:asciiTheme="majorHAnsi" w:hAnsiTheme="majorHAnsi" w:cstheme="majorHAnsi"/>
          <w:sz w:val="20"/>
          <w:szCs w:val="20"/>
          <w:lang w:val="en-US"/>
        </w:rPr>
        <w:t xml:space="preserve"> be </w:t>
      </w:r>
      <w:r w:rsidR="00366977" w:rsidRPr="00747DEE">
        <w:rPr>
          <w:rFonts w:asciiTheme="majorHAnsi" w:hAnsiTheme="majorHAnsi" w:cstheme="majorHAnsi"/>
          <w:sz w:val="20"/>
          <w:szCs w:val="20"/>
          <w:lang w:val="en-US"/>
        </w:rPr>
        <w:t>sufficient</w:t>
      </w:r>
      <w:r w:rsidRPr="00747DEE">
        <w:rPr>
          <w:rFonts w:asciiTheme="majorHAnsi" w:hAnsiTheme="majorHAnsi" w:cstheme="majorHAnsi"/>
          <w:sz w:val="20"/>
          <w:szCs w:val="20"/>
          <w:lang w:val="en-US"/>
        </w:rPr>
        <w:t xml:space="preserve"> in relation to the total remuneration paid to the senior management in order to render it possible to reduce the variable remuneration to zero. The variable remuneration to a member of the senior management whose function or total remuneration level implies that he or she can have a material effect on the company’s risk profile, may not be greater than the fixed salary.</w:t>
      </w:r>
    </w:p>
    <w:p w:rsidR="00493D5C" w:rsidRPr="00747DEE" w:rsidRDefault="00493D5C" w:rsidP="00366977">
      <w:pPr>
        <w:pStyle w:val="Nr-Rubrik1"/>
        <w:rPr>
          <w:rFonts w:cstheme="majorHAnsi"/>
          <w:sz w:val="20"/>
          <w:szCs w:val="20"/>
          <w:lang w:val="en-US"/>
        </w:rPr>
      </w:pPr>
      <w:r w:rsidRPr="00747DEE">
        <w:rPr>
          <w:rFonts w:cstheme="majorHAnsi"/>
          <w:sz w:val="20"/>
          <w:szCs w:val="20"/>
          <w:lang w:val="en-US"/>
        </w:rPr>
        <w:t>Fixed salary</w:t>
      </w:r>
    </w:p>
    <w:p w:rsidR="00493D5C" w:rsidRPr="00747DEE" w:rsidRDefault="00493D5C" w:rsidP="00F26BE2">
      <w:pPr>
        <w:pStyle w:val="Styckenr11"/>
        <w:numPr>
          <w:ilvl w:val="0"/>
          <w:numId w:val="0"/>
        </w:numPr>
        <w:ind w:left="907"/>
        <w:rPr>
          <w:rFonts w:asciiTheme="majorHAnsi" w:hAnsiTheme="majorHAnsi" w:cstheme="majorHAnsi"/>
          <w:sz w:val="20"/>
          <w:szCs w:val="20"/>
          <w:lang w:val="en-US"/>
        </w:rPr>
      </w:pPr>
      <w:r w:rsidRPr="00747DEE">
        <w:rPr>
          <w:rFonts w:asciiTheme="majorHAnsi" w:hAnsiTheme="majorHAnsi" w:cstheme="majorHAnsi"/>
          <w:sz w:val="20"/>
          <w:szCs w:val="20"/>
          <w:lang w:val="en-US"/>
        </w:rPr>
        <w:t xml:space="preserve">Each member of the senior management shall be offered a fixed salary </w:t>
      </w:r>
      <w:r w:rsidR="00EB4737" w:rsidRPr="00747DEE">
        <w:rPr>
          <w:rFonts w:asciiTheme="majorHAnsi" w:hAnsiTheme="majorHAnsi" w:cstheme="majorHAnsi"/>
          <w:sz w:val="20"/>
          <w:szCs w:val="20"/>
          <w:lang w:val="en-US"/>
        </w:rPr>
        <w:t xml:space="preserve">based </w:t>
      </w:r>
      <w:r w:rsidRPr="00747DEE">
        <w:rPr>
          <w:rFonts w:asciiTheme="majorHAnsi" w:hAnsiTheme="majorHAnsi" w:cstheme="majorHAnsi"/>
          <w:sz w:val="20"/>
          <w:szCs w:val="20"/>
          <w:lang w:val="en-US"/>
        </w:rPr>
        <w:t>on market terms, based on the degree of diffi</w:t>
      </w:r>
      <w:r w:rsidRPr="00747DEE">
        <w:rPr>
          <w:rFonts w:asciiTheme="majorHAnsi" w:hAnsiTheme="majorHAnsi" w:cstheme="majorHAnsi"/>
          <w:sz w:val="20"/>
          <w:szCs w:val="20"/>
          <w:lang w:val="en-US"/>
        </w:rPr>
        <w:softHyphen/>
        <w:t>culty of the work per</w:t>
      </w:r>
      <w:r w:rsidR="00EB4737" w:rsidRPr="00747DEE">
        <w:rPr>
          <w:rFonts w:asciiTheme="majorHAnsi" w:hAnsiTheme="majorHAnsi" w:cstheme="majorHAnsi"/>
          <w:sz w:val="20"/>
          <w:szCs w:val="20"/>
          <w:lang w:val="en-US"/>
        </w:rPr>
        <w:t>formed</w:t>
      </w:r>
      <w:r w:rsidRPr="00747DEE">
        <w:rPr>
          <w:rFonts w:asciiTheme="majorHAnsi" w:hAnsiTheme="majorHAnsi" w:cstheme="majorHAnsi"/>
          <w:sz w:val="20"/>
          <w:szCs w:val="20"/>
          <w:lang w:val="en-US"/>
        </w:rPr>
        <w:t xml:space="preserve"> as well as experience, responsibilities, com</w:t>
      </w:r>
      <w:r w:rsidRPr="00747DEE">
        <w:rPr>
          <w:rFonts w:asciiTheme="majorHAnsi" w:hAnsiTheme="majorHAnsi" w:cstheme="majorHAnsi"/>
          <w:sz w:val="20"/>
          <w:szCs w:val="20"/>
          <w:lang w:val="en-US"/>
        </w:rPr>
        <w:softHyphen/>
        <w:t xml:space="preserve">petence and </w:t>
      </w:r>
      <w:r w:rsidR="00EB4737" w:rsidRPr="00747DEE">
        <w:rPr>
          <w:rFonts w:asciiTheme="majorHAnsi" w:hAnsiTheme="majorHAnsi" w:cstheme="majorHAnsi"/>
          <w:sz w:val="20"/>
          <w:szCs w:val="20"/>
          <w:lang w:val="en-US"/>
        </w:rPr>
        <w:t xml:space="preserve">work </w:t>
      </w:r>
      <w:r w:rsidRPr="00747DEE">
        <w:rPr>
          <w:rFonts w:asciiTheme="majorHAnsi" w:hAnsiTheme="majorHAnsi" w:cstheme="majorHAnsi"/>
          <w:sz w:val="20"/>
          <w:szCs w:val="20"/>
          <w:lang w:val="en-US"/>
        </w:rPr>
        <w:t xml:space="preserve">performance. The fixed salary shall be </w:t>
      </w:r>
      <w:r w:rsidR="00EB4737" w:rsidRPr="00747DEE">
        <w:rPr>
          <w:rFonts w:asciiTheme="majorHAnsi" w:hAnsiTheme="majorHAnsi" w:cstheme="majorHAnsi"/>
          <w:sz w:val="20"/>
          <w:szCs w:val="20"/>
          <w:lang w:val="en-US"/>
        </w:rPr>
        <w:t>reviewed</w:t>
      </w:r>
      <w:r w:rsidRPr="00747DEE">
        <w:rPr>
          <w:rFonts w:asciiTheme="majorHAnsi" w:hAnsiTheme="majorHAnsi" w:cstheme="majorHAnsi"/>
          <w:sz w:val="20"/>
          <w:szCs w:val="20"/>
          <w:lang w:val="en-US"/>
        </w:rPr>
        <w:t xml:space="preserve"> annually. </w:t>
      </w:r>
    </w:p>
    <w:p w:rsidR="00493D5C" w:rsidRPr="00747DEE" w:rsidRDefault="00493D5C" w:rsidP="00366977">
      <w:pPr>
        <w:pStyle w:val="Nr-Rubrik1"/>
        <w:rPr>
          <w:rFonts w:cstheme="majorHAnsi"/>
          <w:sz w:val="20"/>
          <w:szCs w:val="20"/>
          <w:lang w:val="en-US"/>
        </w:rPr>
      </w:pPr>
      <w:r w:rsidRPr="00747DEE">
        <w:rPr>
          <w:rFonts w:cstheme="majorHAnsi"/>
          <w:sz w:val="20"/>
          <w:szCs w:val="20"/>
          <w:lang w:val="en-US"/>
        </w:rPr>
        <w:t>Variable salary</w:t>
      </w:r>
    </w:p>
    <w:p w:rsidR="00493D5C" w:rsidRPr="00747DEE" w:rsidRDefault="00493D5C" w:rsidP="00366977">
      <w:pPr>
        <w:pStyle w:val="Styckenr11"/>
        <w:rPr>
          <w:rFonts w:asciiTheme="majorHAnsi" w:hAnsiTheme="majorHAnsi" w:cstheme="majorHAnsi"/>
          <w:sz w:val="20"/>
          <w:szCs w:val="20"/>
          <w:lang w:val="en-US"/>
        </w:rPr>
      </w:pPr>
      <w:r w:rsidRPr="00747DEE">
        <w:rPr>
          <w:rFonts w:asciiTheme="majorHAnsi" w:hAnsiTheme="majorHAnsi" w:cstheme="majorHAnsi"/>
          <w:sz w:val="20"/>
          <w:szCs w:val="20"/>
          <w:lang w:val="en-US"/>
        </w:rPr>
        <w:t xml:space="preserve">In addition to the fixed annual salary, the members of the group’s senior management may be offered variable remuneration which shall be paid in cash and based on the result in relation to performance goals within the respective </w:t>
      </w:r>
      <w:r w:rsidR="00366977" w:rsidRPr="00747DEE">
        <w:rPr>
          <w:rFonts w:asciiTheme="majorHAnsi" w:hAnsiTheme="majorHAnsi" w:cstheme="majorHAnsi"/>
          <w:sz w:val="20"/>
          <w:szCs w:val="20"/>
          <w:lang w:val="en-US"/>
        </w:rPr>
        <w:t>field</w:t>
      </w:r>
      <w:r w:rsidRPr="00747DEE">
        <w:rPr>
          <w:rFonts w:asciiTheme="majorHAnsi" w:hAnsiTheme="majorHAnsi" w:cstheme="majorHAnsi"/>
          <w:sz w:val="20"/>
          <w:szCs w:val="20"/>
          <w:lang w:val="en-US"/>
        </w:rPr>
        <w:t xml:space="preserve"> of responsibility </w:t>
      </w:r>
      <w:r w:rsidR="00366977" w:rsidRPr="00747DEE">
        <w:rPr>
          <w:rFonts w:asciiTheme="majorHAnsi" w:hAnsiTheme="majorHAnsi" w:cstheme="majorHAnsi"/>
          <w:sz w:val="20"/>
          <w:szCs w:val="20"/>
          <w:lang w:val="en-US"/>
        </w:rPr>
        <w:t xml:space="preserve">(group or field of business) </w:t>
      </w:r>
      <w:r w:rsidRPr="00747DEE">
        <w:rPr>
          <w:rFonts w:asciiTheme="majorHAnsi" w:hAnsiTheme="majorHAnsi" w:cstheme="majorHAnsi"/>
          <w:sz w:val="20"/>
          <w:szCs w:val="20"/>
          <w:lang w:val="en-US"/>
        </w:rPr>
        <w:t>and be in line with the shareholders’ interests. Variable remuneration sha</w:t>
      </w:r>
      <w:r w:rsidR="00366977" w:rsidRPr="00747DEE">
        <w:rPr>
          <w:rFonts w:asciiTheme="majorHAnsi" w:hAnsiTheme="majorHAnsi" w:cstheme="majorHAnsi"/>
          <w:sz w:val="20"/>
          <w:szCs w:val="20"/>
          <w:lang w:val="en-US"/>
        </w:rPr>
        <w:t>ll correspond to a maximum of 50</w:t>
      </w:r>
      <w:r w:rsidRPr="00747DEE">
        <w:rPr>
          <w:rFonts w:asciiTheme="majorHAnsi" w:hAnsiTheme="majorHAnsi" w:cstheme="majorHAnsi"/>
          <w:sz w:val="20"/>
          <w:szCs w:val="20"/>
          <w:lang w:val="en-US"/>
        </w:rPr>
        <w:t xml:space="preserve"> percent of the fixed annual salar</w:t>
      </w:r>
      <w:r w:rsidR="00EB4737" w:rsidRPr="00747DEE">
        <w:rPr>
          <w:rFonts w:asciiTheme="majorHAnsi" w:hAnsiTheme="majorHAnsi" w:cstheme="majorHAnsi"/>
          <w:sz w:val="20"/>
          <w:szCs w:val="20"/>
          <w:lang w:val="en-US"/>
        </w:rPr>
        <w:t>y for the CEO and a maximum of 3</w:t>
      </w:r>
      <w:r w:rsidRPr="00747DEE">
        <w:rPr>
          <w:rFonts w:asciiTheme="majorHAnsi" w:hAnsiTheme="majorHAnsi" w:cstheme="majorHAnsi"/>
          <w:sz w:val="20"/>
          <w:szCs w:val="20"/>
          <w:lang w:val="en-US"/>
        </w:rPr>
        <w:t>5 percent of the fixed annual salary for other members of the group’s senior management. Should variable remuneration paid have been based on information that later</w:t>
      </w:r>
      <w:r w:rsidR="00EB4737" w:rsidRPr="00747DEE">
        <w:rPr>
          <w:rFonts w:asciiTheme="majorHAnsi" w:hAnsiTheme="majorHAnsi" w:cstheme="majorHAnsi"/>
          <w:sz w:val="20"/>
          <w:szCs w:val="20"/>
          <w:lang w:val="en-US"/>
        </w:rPr>
        <w:t>, upon review,</w:t>
      </w:r>
      <w:r w:rsidRPr="00747DEE">
        <w:rPr>
          <w:rFonts w:asciiTheme="majorHAnsi" w:hAnsiTheme="majorHAnsi" w:cstheme="majorHAnsi"/>
          <w:sz w:val="20"/>
          <w:szCs w:val="20"/>
          <w:lang w:val="en-US"/>
        </w:rPr>
        <w:t xml:space="preserve"> shows to have been evidently incor</w:t>
      </w:r>
      <w:r w:rsidR="00EB4737" w:rsidRPr="00747DEE">
        <w:rPr>
          <w:rFonts w:asciiTheme="majorHAnsi" w:hAnsiTheme="majorHAnsi" w:cstheme="majorHAnsi"/>
          <w:sz w:val="20"/>
          <w:szCs w:val="20"/>
          <w:lang w:val="en-US"/>
        </w:rPr>
        <w:t>rect, the C</w:t>
      </w:r>
      <w:r w:rsidRPr="00747DEE">
        <w:rPr>
          <w:rFonts w:asciiTheme="majorHAnsi" w:hAnsiTheme="majorHAnsi" w:cstheme="majorHAnsi"/>
          <w:sz w:val="20"/>
          <w:szCs w:val="20"/>
          <w:lang w:val="en-US"/>
        </w:rPr>
        <w:t xml:space="preserve">ompany shall </w:t>
      </w:r>
      <w:r w:rsidR="00EB4737" w:rsidRPr="00747DEE">
        <w:rPr>
          <w:rFonts w:asciiTheme="majorHAnsi" w:hAnsiTheme="majorHAnsi" w:cstheme="majorHAnsi"/>
          <w:sz w:val="20"/>
          <w:szCs w:val="20"/>
          <w:lang w:val="en-US"/>
        </w:rPr>
        <w:t>be entitled</w:t>
      </w:r>
      <w:r w:rsidRPr="00747DEE">
        <w:rPr>
          <w:rFonts w:asciiTheme="majorHAnsi" w:hAnsiTheme="majorHAnsi" w:cstheme="majorHAnsi"/>
          <w:sz w:val="20"/>
          <w:szCs w:val="20"/>
          <w:lang w:val="en-US"/>
        </w:rPr>
        <w:t xml:space="preserve"> to request repayment. Variable remune</w:t>
      </w:r>
      <w:r w:rsidR="00EB4737" w:rsidRPr="00747DEE">
        <w:rPr>
          <w:rFonts w:asciiTheme="majorHAnsi" w:hAnsiTheme="majorHAnsi" w:cstheme="majorHAnsi"/>
          <w:sz w:val="20"/>
          <w:szCs w:val="20"/>
          <w:lang w:val="en-US"/>
        </w:rPr>
        <w:t>ration shall entitle to pension</w:t>
      </w:r>
      <w:r w:rsidRPr="00747DEE">
        <w:rPr>
          <w:rFonts w:asciiTheme="majorHAnsi" w:hAnsiTheme="majorHAnsi" w:cstheme="majorHAnsi"/>
          <w:sz w:val="20"/>
          <w:szCs w:val="20"/>
          <w:lang w:val="en-US"/>
        </w:rPr>
        <w:t xml:space="preserve"> unless otherwise agreed upon. </w:t>
      </w:r>
    </w:p>
    <w:p w:rsidR="00493D5C" w:rsidRPr="00747DEE" w:rsidRDefault="00493D5C" w:rsidP="00342D4A">
      <w:pPr>
        <w:pStyle w:val="Styckenr11"/>
        <w:rPr>
          <w:rFonts w:asciiTheme="majorHAnsi" w:hAnsiTheme="majorHAnsi" w:cstheme="majorHAnsi"/>
          <w:sz w:val="20"/>
          <w:szCs w:val="20"/>
          <w:lang w:val="en-US"/>
        </w:rPr>
      </w:pPr>
      <w:r w:rsidRPr="00747DEE">
        <w:rPr>
          <w:rFonts w:asciiTheme="majorHAnsi" w:hAnsiTheme="majorHAnsi" w:cstheme="majorHAnsi"/>
          <w:sz w:val="20"/>
          <w:szCs w:val="20"/>
          <w:lang w:val="en-US"/>
        </w:rPr>
        <w:t>Variable remuneration shall be based on clear, predetermined and measurable criteria and financial results and predefined individual and operational goals, as well as designed wit</w:t>
      </w:r>
      <w:r w:rsidR="00EB4737" w:rsidRPr="00747DEE">
        <w:rPr>
          <w:rFonts w:asciiTheme="majorHAnsi" w:hAnsiTheme="majorHAnsi" w:cstheme="majorHAnsi"/>
          <w:sz w:val="20"/>
          <w:szCs w:val="20"/>
          <w:lang w:val="en-US"/>
        </w:rPr>
        <w:t>h the objective to promote the C</w:t>
      </w:r>
      <w:r w:rsidRPr="00747DEE">
        <w:rPr>
          <w:rFonts w:asciiTheme="majorHAnsi" w:hAnsiTheme="majorHAnsi" w:cstheme="majorHAnsi"/>
          <w:sz w:val="20"/>
          <w:szCs w:val="20"/>
          <w:lang w:val="en-US"/>
        </w:rPr>
        <w:t>om</w:t>
      </w:r>
      <w:r w:rsidRPr="00747DEE">
        <w:rPr>
          <w:rFonts w:asciiTheme="majorHAnsi" w:hAnsiTheme="majorHAnsi" w:cstheme="majorHAnsi"/>
          <w:sz w:val="20"/>
          <w:szCs w:val="20"/>
          <w:lang w:val="en-US"/>
        </w:rPr>
        <w:softHyphen/>
        <w:t xml:space="preserve">pany’s long-term value creation. The variable remuneration </w:t>
      </w:r>
      <w:r w:rsidR="00EB4737" w:rsidRPr="00747DEE">
        <w:rPr>
          <w:rFonts w:asciiTheme="majorHAnsi" w:hAnsiTheme="majorHAnsi" w:cstheme="majorHAnsi"/>
          <w:sz w:val="20"/>
          <w:szCs w:val="20"/>
          <w:lang w:val="en-US"/>
        </w:rPr>
        <w:t>shall be capped</w:t>
      </w:r>
      <w:r w:rsidRPr="00747DEE">
        <w:rPr>
          <w:rFonts w:asciiTheme="majorHAnsi" w:hAnsiTheme="majorHAnsi" w:cstheme="majorHAnsi"/>
          <w:sz w:val="20"/>
          <w:szCs w:val="20"/>
          <w:lang w:val="en-US"/>
        </w:rPr>
        <w:t xml:space="preserve">. The maximum cap for total variable </w:t>
      </w:r>
      <w:r w:rsidRPr="00747DEE">
        <w:rPr>
          <w:rFonts w:asciiTheme="majorHAnsi" w:hAnsiTheme="majorHAnsi" w:cstheme="majorHAnsi"/>
          <w:sz w:val="20"/>
          <w:szCs w:val="20"/>
          <w:lang w:val="en-US"/>
        </w:rPr>
        <w:lastRenderedPageBreak/>
        <w:t>remuneration to the senior management shall be set annually in connection with the establishment of goals for the coming financial year</w:t>
      </w:r>
      <w:r w:rsidR="0004277C" w:rsidRPr="00747DEE">
        <w:rPr>
          <w:rFonts w:asciiTheme="majorHAnsi" w:hAnsiTheme="majorHAnsi" w:cstheme="majorHAnsi"/>
          <w:sz w:val="20"/>
          <w:szCs w:val="20"/>
          <w:lang w:val="en-US"/>
        </w:rPr>
        <w:t>, but before the start of the financial year in question</w:t>
      </w:r>
      <w:r w:rsidRPr="00747DEE">
        <w:rPr>
          <w:rFonts w:asciiTheme="majorHAnsi" w:hAnsiTheme="majorHAnsi" w:cstheme="majorHAnsi"/>
          <w:sz w:val="20"/>
          <w:szCs w:val="20"/>
          <w:lang w:val="en-US"/>
        </w:rPr>
        <w:t xml:space="preserve">. The </w:t>
      </w:r>
      <w:r w:rsidR="0004277C" w:rsidRPr="00747DEE">
        <w:rPr>
          <w:rFonts w:asciiTheme="majorHAnsi" w:hAnsiTheme="majorHAnsi" w:cstheme="majorHAnsi"/>
          <w:sz w:val="20"/>
          <w:szCs w:val="20"/>
          <w:lang w:val="en-US"/>
        </w:rPr>
        <w:t>C</w:t>
      </w:r>
      <w:r w:rsidRPr="00747DEE">
        <w:rPr>
          <w:rFonts w:asciiTheme="majorHAnsi" w:hAnsiTheme="majorHAnsi" w:cstheme="majorHAnsi"/>
          <w:sz w:val="20"/>
          <w:szCs w:val="20"/>
          <w:lang w:val="en-US"/>
        </w:rPr>
        <w:t>ompany’s commitment</w:t>
      </w:r>
      <w:r w:rsidR="0004277C" w:rsidRPr="00747DEE">
        <w:rPr>
          <w:rFonts w:asciiTheme="majorHAnsi" w:hAnsiTheme="majorHAnsi" w:cstheme="majorHAnsi"/>
          <w:sz w:val="20"/>
          <w:szCs w:val="20"/>
          <w:lang w:val="en-US"/>
        </w:rPr>
        <w:t>s</w:t>
      </w:r>
      <w:r w:rsidRPr="00747DEE">
        <w:rPr>
          <w:rFonts w:asciiTheme="majorHAnsi" w:hAnsiTheme="majorHAnsi" w:cstheme="majorHAnsi"/>
          <w:sz w:val="20"/>
          <w:szCs w:val="20"/>
          <w:lang w:val="en-US"/>
        </w:rPr>
        <w:t xml:space="preserve"> in regards to variable salary to the group’s senior manage</w:t>
      </w:r>
      <w:r w:rsidR="0004277C" w:rsidRPr="00747DEE">
        <w:rPr>
          <w:rFonts w:asciiTheme="majorHAnsi" w:hAnsiTheme="majorHAnsi" w:cstheme="majorHAnsi"/>
          <w:sz w:val="20"/>
          <w:szCs w:val="20"/>
          <w:lang w:val="en-US"/>
        </w:rPr>
        <w:t>ment for 2018</w:t>
      </w:r>
      <w:r w:rsidRPr="00747DEE">
        <w:rPr>
          <w:rFonts w:asciiTheme="majorHAnsi" w:hAnsiTheme="majorHAnsi" w:cstheme="majorHAnsi"/>
          <w:sz w:val="20"/>
          <w:szCs w:val="20"/>
          <w:lang w:val="en-US"/>
        </w:rPr>
        <w:t xml:space="preserve"> is esti</w:t>
      </w:r>
      <w:r w:rsidR="0004277C" w:rsidRPr="00747DEE">
        <w:rPr>
          <w:rFonts w:asciiTheme="majorHAnsi" w:hAnsiTheme="majorHAnsi" w:cstheme="majorHAnsi"/>
          <w:sz w:val="20"/>
          <w:szCs w:val="20"/>
          <w:lang w:val="en-US"/>
        </w:rPr>
        <w:t>mated to cost the C</w:t>
      </w:r>
      <w:r w:rsidRPr="00747DEE">
        <w:rPr>
          <w:rFonts w:asciiTheme="majorHAnsi" w:hAnsiTheme="majorHAnsi" w:cstheme="majorHAnsi"/>
          <w:sz w:val="20"/>
          <w:szCs w:val="20"/>
          <w:lang w:val="en-US"/>
        </w:rPr>
        <w:t xml:space="preserve">ompany not more than </w:t>
      </w:r>
      <w:r w:rsidR="0004277C" w:rsidRPr="00747DEE">
        <w:rPr>
          <w:rFonts w:asciiTheme="majorHAnsi" w:hAnsiTheme="majorHAnsi" w:cstheme="majorHAnsi"/>
          <w:sz w:val="20"/>
          <w:szCs w:val="20"/>
          <w:lang w:val="en-US"/>
        </w:rPr>
        <w:t xml:space="preserve">1 percent of the </w:t>
      </w:r>
      <w:r w:rsidR="00342D4A" w:rsidRPr="00747DEE">
        <w:rPr>
          <w:rFonts w:asciiTheme="majorHAnsi" w:hAnsiTheme="majorHAnsi" w:cstheme="majorHAnsi"/>
          <w:sz w:val="20"/>
          <w:szCs w:val="20"/>
          <w:lang w:val="en-US"/>
        </w:rPr>
        <w:t>turnover or SEK 10 million assuming that the annual turnover will amount to SEK 100 million for the financial year 2018</w:t>
      </w:r>
      <w:r w:rsidRPr="00747DEE">
        <w:rPr>
          <w:rFonts w:asciiTheme="majorHAnsi" w:hAnsiTheme="majorHAnsi" w:cstheme="majorHAnsi"/>
          <w:sz w:val="20"/>
          <w:szCs w:val="20"/>
          <w:lang w:val="en-US"/>
        </w:rPr>
        <w:t>.</w:t>
      </w:r>
    </w:p>
    <w:p w:rsidR="00493D5C" w:rsidRPr="00747DEE" w:rsidRDefault="00493D5C" w:rsidP="00342D4A">
      <w:pPr>
        <w:pStyle w:val="Nr-Rubrik1"/>
        <w:rPr>
          <w:rFonts w:cstheme="majorHAnsi"/>
          <w:sz w:val="20"/>
          <w:szCs w:val="20"/>
          <w:lang w:val="en-US"/>
        </w:rPr>
      </w:pPr>
      <w:r w:rsidRPr="00747DEE">
        <w:rPr>
          <w:rFonts w:cstheme="majorHAnsi"/>
          <w:sz w:val="20"/>
          <w:szCs w:val="20"/>
          <w:lang w:val="en-US"/>
        </w:rPr>
        <w:t>Pension</w:t>
      </w:r>
    </w:p>
    <w:p w:rsidR="00493D5C" w:rsidRPr="00747DEE" w:rsidRDefault="00493D5C" w:rsidP="00342D4A">
      <w:pPr>
        <w:pStyle w:val="Styckenr11"/>
        <w:rPr>
          <w:rFonts w:asciiTheme="majorHAnsi" w:hAnsiTheme="majorHAnsi" w:cstheme="majorHAnsi"/>
          <w:sz w:val="20"/>
          <w:szCs w:val="20"/>
          <w:lang w:val="en-US"/>
        </w:rPr>
      </w:pPr>
      <w:r w:rsidRPr="00747DEE">
        <w:rPr>
          <w:rFonts w:asciiTheme="majorHAnsi" w:hAnsiTheme="majorHAnsi" w:cstheme="majorHAnsi"/>
          <w:sz w:val="20"/>
          <w:szCs w:val="20"/>
          <w:lang w:val="en-US"/>
        </w:rPr>
        <w:t xml:space="preserve">Members of the senior management shall, unless otherwise specifically agreed upon, be offered pension terms </w:t>
      </w:r>
      <w:r w:rsidR="00342D4A" w:rsidRPr="00747DEE">
        <w:rPr>
          <w:rFonts w:asciiTheme="majorHAnsi" w:hAnsiTheme="majorHAnsi" w:cstheme="majorHAnsi"/>
          <w:sz w:val="20"/>
          <w:szCs w:val="20"/>
          <w:lang w:val="en-US"/>
        </w:rPr>
        <w:t xml:space="preserve">in accordance with the ITP scheme or have corresponding premium based pension terms </w:t>
      </w:r>
      <w:r w:rsidRPr="00747DEE">
        <w:rPr>
          <w:rFonts w:asciiTheme="majorHAnsi" w:hAnsiTheme="majorHAnsi" w:cstheme="majorHAnsi"/>
          <w:sz w:val="20"/>
          <w:szCs w:val="20"/>
          <w:lang w:val="en-US"/>
        </w:rPr>
        <w:t>which are in accordance with the market in the country where the members of the senior management are habitually resi</w:t>
      </w:r>
      <w:r w:rsidRPr="00747DEE">
        <w:rPr>
          <w:rFonts w:asciiTheme="majorHAnsi" w:hAnsiTheme="majorHAnsi" w:cstheme="majorHAnsi"/>
          <w:sz w:val="20"/>
          <w:szCs w:val="20"/>
          <w:lang w:val="en-US"/>
        </w:rPr>
        <w:softHyphen/>
        <w:t>dent.</w:t>
      </w:r>
    </w:p>
    <w:p w:rsidR="00493D5C" w:rsidRPr="00747DEE" w:rsidRDefault="00342D4A" w:rsidP="00342D4A">
      <w:pPr>
        <w:pStyle w:val="Styckenr11"/>
        <w:rPr>
          <w:rFonts w:asciiTheme="majorHAnsi" w:hAnsiTheme="majorHAnsi" w:cstheme="majorHAnsi"/>
          <w:sz w:val="20"/>
          <w:szCs w:val="20"/>
          <w:lang w:val="en-US"/>
        </w:rPr>
      </w:pPr>
      <w:r w:rsidRPr="00747DEE">
        <w:rPr>
          <w:rFonts w:asciiTheme="majorHAnsi" w:hAnsiTheme="majorHAnsi" w:cstheme="majorHAnsi"/>
          <w:sz w:val="20"/>
          <w:szCs w:val="20"/>
          <w:lang w:val="en-US"/>
        </w:rPr>
        <w:t xml:space="preserve">Senior management shall be entitled to retire at an age of </w:t>
      </w:r>
      <w:r w:rsidR="007D2F03" w:rsidRPr="00747DEE">
        <w:rPr>
          <w:rFonts w:asciiTheme="majorHAnsi" w:hAnsiTheme="majorHAnsi" w:cstheme="majorHAnsi"/>
          <w:sz w:val="20"/>
          <w:szCs w:val="20"/>
          <w:lang w:val="en-US"/>
        </w:rPr>
        <w:t>60 at the earliest.</w:t>
      </w:r>
      <w:r w:rsidRPr="00747DEE">
        <w:rPr>
          <w:rFonts w:asciiTheme="majorHAnsi" w:hAnsiTheme="majorHAnsi" w:cstheme="majorHAnsi"/>
          <w:sz w:val="20"/>
          <w:szCs w:val="20"/>
          <w:lang w:val="en-US"/>
        </w:rPr>
        <w:t xml:space="preserve"> </w:t>
      </w:r>
      <w:r w:rsidR="00493D5C" w:rsidRPr="00747DEE">
        <w:rPr>
          <w:rFonts w:asciiTheme="majorHAnsi" w:hAnsiTheme="majorHAnsi" w:cstheme="majorHAnsi"/>
          <w:sz w:val="20"/>
          <w:szCs w:val="20"/>
          <w:lang w:val="en-US"/>
        </w:rPr>
        <w:t>Variable re</w:t>
      </w:r>
      <w:r w:rsidR="00493D5C" w:rsidRPr="00747DEE">
        <w:rPr>
          <w:rFonts w:asciiTheme="majorHAnsi" w:hAnsiTheme="majorHAnsi" w:cstheme="majorHAnsi"/>
          <w:sz w:val="20"/>
          <w:szCs w:val="20"/>
          <w:lang w:val="en-US"/>
        </w:rPr>
        <w:softHyphen/>
        <w:t xml:space="preserve">muneration shall, as a main rule, be pension qualifying. </w:t>
      </w:r>
    </w:p>
    <w:p w:rsidR="00493D5C" w:rsidRPr="00747DEE" w:rsidRDefault="00493D5C" w:rsidP="007D2F03">
      <w:pPr>
        <w:pStyle w:val="Nr-Rubrik1"/>
        <w:rPr>
          <w:rFonts w:cstheme="majorHAnsi"/>
          <w:sz w:val="20"/>
          <w:szCs w:val="20"/>
          <w:lang w:val="en-US"/>
        </w:rPr>
      </w:pPr>
      <w:r w:rsidRPr="00747DEE">
        <w:rPr>
          <w:rFonts w:cstheme="majorHAnsi"/>
          <w:sz w:val="20"/>
          <w:szCs w:val="20"/>
          <w:lang w:val="en-US"/>
        </w:rPr>
        <w:t>Other benefits</w:t>
      </w:r>
    </w:p>
    <w:p w:rsidR="00493D5C" w:rsidRPr="00747DEE" w:rsidRDefault="00493D5C" w:rsidP="00E348AA">
      <w:pPr>
        <w:pStyle w:val="Styckenr11"/>
        <w:numPr>
          <w:ilvl w:val="0"/>
          <w:numId w:val="0"/>
        </w:numPr>
        <w:ind w:left="907"/>
        <w:rPr>
          <w:rFonts w:asciiTheme="majorHAnsi" w:hAnsiTheme="majorHAnsi" w:cstheme="majorHAnsi"/>
          <w:sz w:val="20"/>
          <w:szCs w:val="20"/>
          <w:lang w:val="en-US"/>
        </w:rPr>
      </w:pPr>
      <w:r w:rsidRPr="00747DEE">
        <w:rPr>
          <w:rFonts w:asciiTheme="majorHAnsi" w:hAnsiTheme="majorHAnsi" w:cstheme="majorHAnsi"/>
          <w:sz w:val="20"/>
          <w:szCs w:val="20"/>
          <w:lang w:val="en-US"/>
        </w:rPr>
        <w:t>Other benefits such as a company car, additional health insurance and medical benefits shall be limited in value in relation to other remuneration and shall be paid only in so far as it is considered to be in accordance with the market for other members of senior managements holding corresponding positions on the employment market where the member in question is operating.</w:t>
      </w:r>
    </w:p>
    <w:p w:rsidR="00493D5C" w:rsidRPr="00747DEE" w:rsidRDefault="00493D5C" w:rsidP="007D2F03">
      <w:pPr>
        <w:pStyle w:val="Nr-Rubrik1"/>
        <w:rPr>
          <w:rFonts w:cstheme="majorHAnsi"/>
          <w:sz w:val="20"/>
          <w:szCs w:val="20"/>
          <w:lang w:val="en-US"/>
        </w:rPr>
      </w:pPr>
      <w:r w:rsidRPr="00747DEE">
        <w:rPr>
          <w:rFonts w:cstheme="majorHAnsi"/>
          <w:sz w:val="20"/>
          <w:szCs w:val="20"/>
          <w:lang w:val="en-US"/>
        </w:rPr>
        <w:t>Long-term share based incentive programs</w:t>
      </w:r>
    </w:p>
    <w:p w:rsidR="00493D5C" w:rsidRPr="00747DEE" w:rsidRDefault="00493D5C" w:rsidP="007D2F03">
      <w:pPr>
        <w:pStyle w:val="Styckenr11"/>
        <w:rPr>
          <w:rFonts w:asciiTheme="majorHAnsi" w:hAnsiTheme="majorHAnsi" w:cstheme="majorHAnsi"/>
          <w:sz w:val="20"/>
          <w:szCs w:val="20"/>
          <w:lang w:val="en-US"/>
        </w:rPr>
      </w:pPr>
      <w:r w:rsidRPr="00747DEE">
        <w:rPr>
          <w:rFonts w:asciiTheme="majorHAnsi" w:hAnsiTheme="majorHAnsi" w:cstheme="majorHAnsi"/>
          <w:sz w:val="20"/>
          <w:szCs w:val="20"/>
          <w:lang w:val="en-US"/>
        </w:rPr>
        <w:t>The board of directors shall each year consider whether the annual general meeting is to be proposed to adopt a share based incentive program. Proposed incentive programs shall contribute to a long-term value growth.</w:t>
      </w:r>
    </w:p>
    <w:p w:rsidR="00493D5C" w:rsidRPr="00747DEE" w:rsidRDefault="00493D5C" w:rsidP="007D2F03">
      <w:pPr>
        <w:pStyle w:val="Styckenr11"/>
        <w:rPr>
          <w:rFonts w:asciiTheme="majorHAnsi" w:hAnsiTheme="majorHAnsi" w:cstheme="majorHAnsi"/>
          <w:sz w:val="20"/>
          <w:szCs w:val="20"/>
          <w:lang w:val="en-US"/>
        </w:rPr>
      </w:pPr>
      <w:r w:rsidRPr="00747DEE">
        <w:rPr>
          <w:rFonts w:asciiTheme="majorHAnsi" w:hAnsiTheme="majorHAnsi" w:cstheme="majorHAnsi"/>
          <w:sz w:val="20"/>
          <w:szCs w:val="20"/>
          <w:lang w:val="en-US"/>
        </w:rPr>
        <w:t xml:space="preserve">It shall be possible to offer members of the senior management corresponding incentives as should have been offered pursuant to a share based incentive program, should it show to be practically impossible to effectuate such program in the tax domicile of a member of the senior management, or if the company assesses that such participation cannot take place at reasonable administrative costs or financial contributions. The cost and the investment for the company as well as the incentive and financial outcome for the senior management member in question shall under those circumstances essentially correspond to the share based incentive program. </w:t>
      </w:r>
    </w:p>
    <w:p w:rsidR="00493D5C" w:rsidRPr="00747DEE" w:rsidRDefault="00493D5C" w:rsidP="007D2F03">
      <w:pPr>
        <w:pStyle w:val="Nr-Rubrik1"/>
        <w:rPr>
          <w:rFonts w:cstheme="majorHAnsi"/>
          <w:sz w:val="20"/>
          <w:szCs w:val="20"/>
          <w:lang w:val="en-US"/>
        </w:rPr>
      </w:pPr>
      <w:r w:rsidRPr="00747DEE">
        <w:rPr>
          <w:rFonts w:cstheme="majorHAnsi"/>
          <w:sz w:val="20"/>
          <w:szCs w:val="20"/>
          <w:lang w:val="en-US"/>
        </w:rPr>
        <w:t>Notice</w:t>
      </w:r>
    </w:p>
    <w:p w:rsidR="00493D5C" w:rsidRPr="00747DEE" w:rsidRDefault="00493D5C" w:rsidP="007D2F03">
      <w:pPr>
        <w:pStyle w:val="Styckenr11"/>
        <w:numPr>
          <w:ilvl w:val="0"/>
          <w:numId w:val="0"/>
        </w:numPr>
        <w:ind w:left="907"/>
        <w:rPr>
          <w:rFonts w:asciiTheme="majorHAnsi" w:hAnsiTheme="majorHAnsi" w:cstheme="majorHAnsi"/>
          <w:sz w:val="20"/>
          <w:szCs w:val="20"/>
          <w:lang w:val="en-US"/>
        </w:rPr>
      </w:pPr>
      <w:r w:rsidRPr="00747DEE">
        <w:rPr>
          <w:rFonts w:asciiTheme="majorHAnsi" w:hAnsiTheme="majorHAnsi" w:cstheme="majorHAnsi"/>
          <w:sz w:val="20"/>
          <w:szCs w:val="20"/>
          <w:lang w:val="en-US"/>
        </w:rPr>
        <w:t>The notice period upon notice given by the company shall be no longer than 12 months for all members of the senior management, with a right to redundancy payment after the expiration of the notice period corresponding to not more than 100 percent of the fixed salary for a maximum of 12 months, meaning that the fixed salary and redundancy payment shall together not exceed 24 months’ fixed salary. Any right to redundancy payment shall, as a main rule, decrease in situations where remuneration is received from another employer. Upon notice given by a member of the senior management, the notice period shall generally be 6 months for the CEO and 3-6 months for other members of the senior management.</w:t>
      </w:r>
    </w:p>
    <w:p w:rsidR="00F26BE2" w:rsidRPr="00F26BE2" w:rsidRDefault="00F26BE2" w:rsidP="007D2F03">
      <w:pPr>
        <w:pStyle w:val="Nr-Rubrik1"/>
        <w:rPr>
          <w:rFonts w:cstheme="majorHAnsi"/>
          <w:sz w:val="20"/>
          <w:szCs w:val="20"/>
          <w:lang w:val="en-US"/>
        </w:rPr>
      </w:pPr>
      <w:r w:rsidRPr="00F26BE2">
        <w:rPr>
          <w:rFonts w:cstheme="majorHAnsi"/>
          <w:sz w:val="20"/>
          <w:szCs w:val="20"/>
          <w:lang w:val="en-US"/>
        </w:rPr>
        <w:lastRenderedPageBreak/>
        <w:t>The board’s preparations and decision-making</w:t>
      </w:r>
    </w:p>
    <w:p w:rsidR="00F26BE2" w:rsidRPr="00F26BE2" w:rsidRDefault="00F26BE2" w:rsidP="00F26BE2">
      <w:pPr>
        <w:pStyle w:val="Normaltindrag"/>
        <w:rPr>
          <w:rFonts w:asciiTheme="majorHAnsi" w:eastAsiaTheme="majorEastAsia" w:hAnsiTheme="majorHAnsi" w:cstheme="majorHAnsi"/>
          <w:sz w:val="20"/>
          <w:szCs w:val="20"/>
          <w:lang w:val="en-US"/>
        </w:rPr>
      </w:pPr>
      <w:r>
        <w:rPr>
          <w:rFonts w:asciiTheme="majorHAnsi" w:eastAsiaTheme="majorEastAsia" w:hAnsiTheme="majorHAnsi" w:cstheme="majorHAnsi"/>
          <w:sz w:val="20"/>
          <w:szCs w:val="20"/>
          <w:lang w:val="en-US"/>
        </w:rPr>
        <w:t>The remuneration committee of the board proposes, and the board resolves, upon employment terms for the senior management. The remuneration committee also prepares the board of director’s resolution proposals, if any, as regards share or share-related incentive programs. The company’s auditor shall annually review the application of these principles in view of applicable regulation. The auditor’s report shall be kept available for the annual general meeting.</w:t>
      </w:r>
    </w:p>
    <w:p w:rsidR="00493D5C" w:rsidRPr="00747DEE" w:rsidRDefault="00493D5C" w:rsidP="007D2F03">
      <w:pPr>
        <w:pStyle w:val="Nr-Rubrik1"/>
        <w:rPr>
          <w:rFonts w:cstheme="majorHAnsi"/>
          <w:sz w:val="20"/>
          <w:szCs w:val="20"/>
          <w:lang w:val="en-US"/>
        </w:rPr>
      </w:pPr>
      <w:r w:rsidRPr="00747DEE">
        <w:rPr>
          <w:rFonts w:cstheme="majorHAnsi"/>
          <w:sz w:val="20"/>
          <w:szCs w:val="20"/>
          <w:lang w:val="en-US"/>
        </w:rPr>
        <w:t>Remuneration to board members</w:t>
      </w:r>
    </w:p>
    <w:p w:rsidR="00493D5C" w:rsidRPr="00747DEE" w:rsidRDefault="00493D5C" w:rsidP="007D2F03">
      <w:pPr>
        <w:pStyle w:val="Styckenr11"/>
        <w:numPr>
          <w:ilvl w:val="0"/>
          <w:numId w:val="0"/>
        </w:numPr>
        <w:ind w:left="907"/>
        <w:rPr>
          <w:rFonts w:asciiTheme="majorHAnsi" w:hAnsiTheme="majorHAnsi" w:cstheme="majorHAnsi"/>
          <w:sz w:val="20"/>
          <w:szCs w:val="20"/>
          <w:lang w:val="en-US"/>
        </w:rPr>
      </w:pPr>
      <w:r w:rsidRPr="00747DEE">
        <w:rPr>
          <w:rFonts w:asciiTheme="majorHAnsi" w:hAnsiTheme="majorHAnsi" w:cstheme="majorHAnsi"/>
          <w:sz w:val="20"/>
          <w:szCs w:val="20"/>
          <w:lang w:val="en-US"/>
        </w:rPr>
        <w:t>In so far as board members elected by the general meeting are performing work that stretches beyond the tasks of the board of directors, it shall be possible to pay them for such work. Such remuneration shall be market based and shall be approved by the board of directors.</w:t>
      </w:r>
    </w:p>
    <w:p w:rsidR="00493D5C" w:rsidRPr="00747DEE" w:rsidRDefault="00493D5C" w:rsidP="007D2F03">
      <w:pPr>
        <w:pStyle w:val="Nr-Rubrik1"/>
        <w:rPr>
          <w:rFonts w:cstheme="majorHAnsi"/>
          <w:sz w:val="20"/>
          <w:szCs w:val="20"/>
          <w:lang w:val="en-US"/>
        </w:rPr>
      </w:pPr>
      <w:r w:rsidRPr="00747DEE">
        <w:rPr>
          <w:rFonts w:cstheme="majorHAnsi"/>
          <w:sz w:val="20"/>
          <w:szCs w:val="20"/>
          <w:lang w:val="en-US"/>
        </w:rPr>
        <w:t>Scope</w:t>
      </w:r>
    </w:p>
    <w:p w:rsidR="00493D5C" w:rsidRPr="00747DEE" w:rsidRDefault="00493D5C" w:rsidP="007D2F03">
      <w:pPr>
        <w:pStyle w:val="Styckenr11"/>
        <w:numPr>
          <w:ilvl w:val="0"/>
          <w:numId w:val="0"/>
        </w:numPr>
        <w:ind w:left="907"/>
        <w:rPr>
          <w:rFonts w:asciiTheme="majorHAnsi" w:hAnsiTheme="majorHAnsi" w:cstheme="majorHAnsi"/>
          <w:sz w:val="20"/>
          <w:szCs w:val="20"/>
          <w:lang w:val="en-US"/>
        </w:rPr>
      </w:pPr>
      <w:r w:rsidRPr="00747DEE">
        <w:rPr>
          <w:rFonts w:asciiTheme="majorHAnsi" w:hAnsiTheme="majorHAnsi" w:cstheme="majorHAnsi"/>
          <w:sz w:val="20"/>
          <w:szCs w:val="20"/>
          <w:lang w:val="en-US"/>
        </w:rPr>
        <w:t>These guidelines shall encompass those persons that are members of the senior management of the group during the period when the guidelines are in force. The guidelines are applicable on agreements entered into after the general meeting’s decision, and as far as changes are made to existing agreements, thereafter. The board of directors shall be entitled to deviate from the guidelines in individual cases if there are special reasons for doing so.</w:t>
      </w:r>
    </w:p>
    <w:p w:rsidR="00493D5C" w:rsidRPr="00747DEE" w:rsidRDefault="00493D5C" w:rsidP="007D2F03">
      <w:pPr>
        <w:pStyle w:val="Nr-Rubrik1"/>
        <w:rPr>
          <w:rFonts w:cstheme="majorHAnsi"/>
          <w:sz w:val="20"/>
          <w:szCs w:val="20"/>
          <w:lang w:val="en-US"/>
        </w:rPr>
      </w:pPr>
      <w:r w:rsidRPr="00747DEE">
        <w:rPr>
          <w:rFonts w:cstheme="majorHAnsi"/>
          <w:sz w:val="20"/>
          <w:szCs w:val="20"/>
          <w:lang w:val="en-US"/>
        </w:rPr>
        <w:t>Information in regards to previously decided remunerat</w:t>
      </w:r>
      <w:r w:rsidRPr="00747DEE">
        <w:rPr>
          <w:rFonts w:cstheme="majorHAnsi"/>
          <w:sz w:val="20"/>
          <w:szCs w:val="20"/>
          <w:lang w:val="en-US"/>
        </w:rPr>
        <w:softHyphen/>
        <w:t>ion</w:t>
      </w:r>
    </w:p>
    <w:p w:rsidR="00493D5C" w:rsidRPr="00747DEE" w:rsidRDefault="00493D5C" w:rsidP="00F26BE2">
      <w:pPr>
        <w:pStyle w:val="Styckenr11"/>
        <w:numPr>
          <w:ilvl w:val="0"/>
          <w:numId w:val="0"/>
        </w:numPr>
        <w:ind w:left="907"/>
        <w:rPr>
          <w:rFonts w:asciiTheme="majorHAnsi" w:hAnsiTheme="majorHAnsi" w:cstheme="majorHAnsi"/>
          <w:sz w:val="20"/>
          <w:szCs w:val="20"/>
          <w:lang w:val="en-US"/>
        </w:rPr>
      </w:pPr>
      <w:r w:rsidRPr="00747DEE">
        <w:rPr>
          <w:rFonts w:asciiTheme="majorHAnsi" w:hAnsiTheme="majorHAnsi" w:cstheme="majorHAnsi"/>
          <w:sz w:val="20"/>
          <w:szCs w:val="20"/>
          <w:lang w:val="en-US"/>
        </w:rPr>
        <w:t>Except for recurring commitments, there are no remuneration commitments in relation to members of the senior management that have not become due.</w:t>
      </w:r>
    </w:p>
    <w:p w:rsidR="00493D5C" w:rsidRPr="00747DEE" w:rsidRDefault="00493D5C" w:rsidP="00493D5C">
      <w:pPr>
        <w:pStyle w:val="Normaltindrag"/>
        <w:ind w:left="284"/>
        <w:jc w:val="center"/>
        <w:rPr>
          <w:rFonts w:asciiTheme="majorHAnsi" w:hAnsiTheme="majorHAnsi" w:cstheme="majorHAnsi"/>
          <w:sz w:val="20"/>
          <w:szCs w:val="20"/>
          <w:lang w:val="en-US"/>
        </w:rPr>
      </w:pPr>
      <w:r w:rsidRPr="00747DEE">
        <w:rPr>
          <w:rFonts w:asciiTheme="majorHAnsi" w:hAnsiTheme="majorHAnsi" w:cstheme="majorHAnsi"/>
          <w:sz w:val="20"/>
          <w:szCs w:val="20"/>
          <w:lang w:val="en-US"/>
        </w:rPr>
        <w:t>_____</w:t>
      </w:r>
    </w:p>
    <w:p w:rsidR="00493D5C" w:rsidRPr="00747DEE" w:rsidRDefault="00493D5C" w:rsidP="00493D5C">
      <w:pPr>
        <w:jc w:val="center"/>
        <w:rPr>
          <w:rFonts w:asciiTheme="majorHAnsi" w:hAnsiTheme="majorHAnsi" w:cstheme="majorHAnsi"/>
          <w:i/>
          <w:sz w:val="20"/>
          <w:szCs w:val="20"/>
          <w:lang w:val="en-US"/>
        </w:rPr>
      </w:pPr>
      <w:r w:rsidRPr="00747DEE">
        <w:rPr>
          <w:rFonts w:asciiTheme="majorHAnsi" w:hAnsiTheme="majorHAnsi" w:cstheme="majorHAnsi"/>
          <w:i/>
          <w:sz w:val="20"/>
          <w:szCs w:val="20"/>
          <w:lang w:val="en-US"/>
        </w:rPr>
        <w:t>The board of directors</w:t>
      </w:r>
    </w:p>
    <w:p w:rsidR="00493D5C" w:rsidRPr="00747DEE" w:rsidRDefault="00493D5C" w:rsidP="00493D5C">
      <w:pPr>
        <w:jc w:val="both"/>
        <w:rPr>
          <w:rFonts w:asciiTheme="majorHAnsi" w:hAnsiTheme="majorHAnsi" w:cstheme="majorHAnsi"/>
          <w:sz w:val="20"/>
          <w:szCs w:val="20"/>
          <w:lang w:val="en-US"/>
        </w:rPr>
      </w:pPr>
    </w:p>
    <w:p w:rsidR="004B2586" w:rsidRPr="00747DEE" w:rsidRDefault="004B2586" w:rsidP="003E0432">
      <w:pPr>
        <w:rPr>
          <w:rFonts w:asciiTheme="majorHAnsi" w:hAnsiTheme="majorHAnsi" w:cstheme="majorHAnsi"/>
          <w:sz w:val="21"/>
          <w:szCs w:val="21"/>
        </w:rPr>
      </w:pPr>
    </w:p>
    <w:sectPr w:rsidR="004B2586" w:rsidRPr="00747DEE" w:rsidSect="006813F1">
      <w:footerReference w:type="default" r:id="rId9"/>
      <w:pgSz w:w="11906" w:h="16838" w:code="9"/>
      <w:pgMar w:top="2013" w:right="1361" w:bottom="2325" w:left="2155" w:header="68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5C" w:rsidRDefault="00493D5C" w:rsidP="0066735E">
      <w:pPr>
        <w:spacing w:line="240" w:lineRule="auto"/>
      </w:pPr>
      <w:r>
        <w:separator/>
      </w:r>
    </w:p>
  </w:endnote>
  <w:endnote w:type="continuationSeparator" w:id="0">
    <w:p w:rsidR="00493D5C" w:rsidRDefault="00493D5C"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alias w:val="DocID"/>
      <w:tag w:val="DocID"/>
      <w:id w:val="41025250"/>
      <w:placeholder>
        <w:docPart w:val="DefaultPlaceholder_1082065158"/>
      </w:placeholder>
      <w:showingPlcHdr/>
      <w:text/>
    </w:sdtPr>
    <w:sdtEndPr/>
    <w:sdtContent>
      <w:p w:rsidR="00B55571" w:rsidRPr="007B3CF5" w:rsidRDefault="00102ED7" w:rsidP="007B3CF5">
        <w:pPr>
          <w:pStyle w:val="Sidfot"/>
          <w:jc w:val="right"/>
          <w:rPr>
            <w:sz w:val="20"/>
          </w:rPr>
        </w:pPr>
        <w:r w:rsidRPr="00783C9F">
          <w:rPr>
            <w:rStyle w:val="Platshllartext"/>
          </w:rPr>
          <w:t>Klicka här för att ange text.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5C" w:rsidRDefault="00493D5C" w:rsidP="0066735E">
      <w:pPr>
        <w:spacing w:line="240" w:lineRule="auto"/>
      </w:pPr>
      <w:r>
        <w:separator/>
      </w:r>
    </w:p>
  </w:footnote>
  <w:footnote w:type="continuationSeparator" w:id="0">
    <w:p w:rsidR="00493D5C" w:rsidRDefault="00493D5C" w:rsidP="006673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669D5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5B8D6B7F"/>
    <w:multiLevelType w:val="multilevel"/>
    <w:tmpl w:val="A7641D30"/>
    <w:styleLink w:val="Setterwalls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lvlText w:val="%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pStyle w:val="a-lista"/>
      <w:lvlText w:val="(%8)"/>
      <w:lvlJc w:val="left"/>
      <w:pPr>
        <w:tabs>
          <w:tab w:val="num" w:pos="1418"/>
        </w:tabs>
        <w:ind w:left="1418" w:hanging="511"/>
      </w:pPr>
      <w:rPr>
        <w:rFonts w:hint="default"/>
      </w:rPr>
    </w:lvl>
    <w:lvl w:ilvl="8">
      <w:start w:val="1"/>
      <w:numFmt w:val="lowerRoman"/>
      <w:lvlRestart w:val="0"/>
      <w:pStyle w:val="i-lista"/>
      <w:lvlText w:val="(%9)"/>
      <w:lvlJc w:val="left"/>
      <w:pPr>
        <w:tabs>
          <w:tab w:val="num" w:pos="1928"/>
        </w:tabs>
        <w:ind w:left="1928" w:hanging="510"/>
      </w:pPr>
      <w:rPr>
        <w:rFonts w:hint="default"/>
      </w:rPr>
    </w:lvl>
  </w:abstractNum>
  <w:abstractNum w:abstractNumId="2">
    <w:nsid w:val="664B0F8A"/>
    <w:multiLevelType w:val="multilevel"/>
    <w:tmpl w:val="08B45568"/>
    <w:styleLink w:val="SetterwallsTabellnumrering"/>
    <w:lvl w:ilvl="0">
      <w:start w:val="1"/>
      <w:numFmt w:val="decimal"/>
      <w:pStyle w:val="Nr-RubrikTabell"/>
      <w:lvlText w:val="%1."/>
      <w:lvlJc w:val="left"/>
      <w:pPr>
        <w:tabs>
          <w:tab w:val="num" w:pos="510"/>
        </w:tabs>
        <w:ind w:left="510" w:hanging="510"/>
      </w:pPr>
      <w:rPr>
        <w:rFonts w:hint="default"/>
      </w:rPr>
    </w:lvl>
    <w:lvl w:ilvl="1">
      <w:start w:val="1"/>
      <w:numFmt w:val="decimal"/>
      <w:pStyle w:val="Styckenr11Tabell"/>
      <w:lvlText w:val="%1.%2"/>
      <w:lvlJc w:val="left"/>
      <w:pPr>
        <w:tabs>
          <w:tab w:val="num" w:pos="510"/>
        </w:tabs>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7A206D0"/>
    <w:multiLevelType w:val="multilevel"/>
    <w:tmpl w:val="A7641D30"/>
    <w:numStyleLink w:val="Setterwallsnumrering"/>
  </w:abstractNum>
  <w:abstractNum w:abstractNumId="4">
    <w:nsid w:val="6BD81CBE"/>
    <w:multiLevelType w:val="multilevel"/>
    <w:tmpl w:val="324CE050"/>
    <w:styleLink w:val="SetterwallsNumreradlista"/>
    <w:lvl w:ilvl="0">
      <w:start w:val="1"/>
      <w:numFmt w:val="decimal"/>
      <w:pStyle w:val="Numreradlista"/>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DEA76AF"/>
    <w:multiLevelType w:val="multilevel"/>
    <w:tmpl w:val="08B45568"/>
    <w:numStyleLink w:val="SetterwallsTabellnumrering"/>
  </w:abstractNum>
  <w:num w:numId="1">
    <w:abstractNumId w:val="1"/>
  </w:num>
  <w:num w:numId="2">
    <w:abstractNumId w:val="0"/>
  </w:num>
  <w:num w:numId="3">
    <w:abstractNumId w:val="3"/>
    <w:lvlOverride w:ilvl="1">
      <w:lvl w:ilvl="1">
        <w:start w:val="1"/>
        <w:numFmt w:val="decimal"/>
        <w:pStyle w:val="Nr-Rubrik2"/>
        <w:lvlText w:val="%1.%2"/>
        <w:lvlJc w:val="left"/>
        <w:pPr>
          <w:tabs>
            <w:tab w:val="num" w:pos="907"/>
          </w:tabs>
          <w:ind w:left="907" w:hanging="907"/>
        </w:pPr>
        <w:rPr>
          <w:rFonts w:asciiTheme="majorHAnsi" w:hAnsiTheme="majorHAnsi" w:cstheme="majorHAnsi" w:hint="default"/>
        </w:rPr>
      </w:lvl>
    </w:lvlOverride>
  </w:num>
  <w:num w:numId="4">
    <w:abstractNumId w:val="4"/>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5C"/>
    <w:rsid w:val="00031DC0"/>
    <w:rsid w:val="0004277C"/>
    <w:rsid w:val="000921A1"/>
    <w:rsid w:val="000A0218"/>
    <w:rsid w:val="000E143B"/>
    <w:rsid w:val="00102ED7"/>
    <w:rsid w:val="00113809"/>
    <w:rsid w:val="001A6E08"/>
    <w:rsid w:val="001E6038"/>
    <w:rsid w:val="001F4C9F"/>
    <w:rsid w:val="002C1C3E"/>
    <w:rsid w:val="002C52F1"/>
    <w:rsid w:val="00342D4A"/>
    <w:rsid w:val="003558C0"/>
    <w:rsid w:val="00366977"/>
    <w:rsid w:val="003A40D4"/>
    <w:rsid w:val="003D39D2"/>
    <w:rsid w:val="003E0432"/>
    <w:rsid w:val="003E6B64"/>
    <w:rsid w:val="00410998"/>
    <w:rsid w:val="004549AA"/>
    <w:rsid w:val="00484C4E"/>
    <w:rsid w:val="00490E31"/>
    <w:rsid w:val="00493D5C"/>
    <w:rsid w:val="004B2586"/>
    <w:rsid w:val="004D5EB4"/>
    <w:rsid w:val="0055045D"/>
    <w:rsid w:val="0058099A"/>
    <w:rsid w:val="0059718F"/>
    <w:rsid w:val="005A4EA2"/>
    <w:rsid w:val="00662863"/>
    <w:rsid w:val="006637B1"/>
    <w:rsid w:val="0066735E"/>
    <w:rsid w:val="006813F1"/>
    <w:rsid w:val="00687D67"/>
    <w:rsid w:val="00694C3B"/>
    <w:rsid w:val="006D09B1"/>
    <w:rsid w:val="006D753B"/>
    <w:rsid w:val="00722C0E"/>
    <w:rsid w:val="00747DEE"/>
    <w:rsid w:val="007B3CF5"/>
    <w:rsid w:val="007C0F3A"/>
    <w:rsid w:val="007C4210"/>
    <w:rsid w:val="007D2F03"/>
    <w:rsid w:val="007D357F"/>
    <w:rsid w:val="007D63A5"/>
    <w:rsid w:val="007E305F"/>
    <w:rsid w:val="008114C8"/>
    <w:rsid w:val="00813A50"/>
    <w:rsid w:val="00816DC2"/>
    <w:rsid w:val="00833A26"/>
    <w:rsid w:val="00851CED"/>
    <w:rsid w:val="008634EE"/>
    <w:rsid w:val="00865A92"/>
    <w:rsid w:val="00867F90"/>
    <w:rsid w:val="0088750F"/>
    <w:rsid w:val="008F1401"/>
    <w:rsid w:val="008F49A9"/>
    <w:rsid w:val="009422DA"/>
    <w:rsid w:val="00965551"/>
    <w:rsid w:val="009A74C2"/>
    <w:rsid w:val="009C1DEB"/>
    <w:rsid w:val="009E0233"/>
    <w:rsid w:val="009E756D"/>
    <w:rsid w:val="00A5272E"/>
    <w:rsid w:val="00AD0EE7"/>
    <w:rsid w:val="00B449A7"/>
    <w:rsid w:val="00B55571"/>
    <w:rsid w:val="00B90537"/>
    <w:rsid w:val="00C07444"/>
    <w:rsid w:val="00C35EC5"/>
    <w:rsid w:val="00C43874"/>
    <w:rsid w:val="00CB1897"/>
    <w:rsid w:val="00CF6E43"/>
    <w:rsid w:val="00D03DEE"/>
    <w:rsid w:val="00D53D6F"/>
    <w:rsid w:val="00D7199B"/>
    <w:rsid w:val="00D73461"/>
    <w:rsid w:val="00DB78EC"/>
    <w:rsid w:val="00DD7363"/>
    <w:rsid w:val="00DE0A80"/>
    <w:rsid w:val="00E30033"/>
    <w:rsid w:val="00E348AA"/>
    <w:rsid w:val="00E65825"/>
    <w:rsid w:val="00E906FC"/>
    <w:rsid w:val="00E95F2D"/>
    <w:rsid w:val="00EA5064"/>
    <w:rsid w:val="00EB4737"/>
    <w:rsid w:val="00ED77CA"/>
    <w:rsid w:val="00EF5128"/>
    <w:rsid w:val="00F26BE2"/>
    <w:rsid w:val="00F312D7"/>
    <w:rsid w:val="00F4076C"/>
    <w:rsid w:val="00F409C3"/>
    <w:rsid w:val="00F86EA8"/>
    <w:rsid w:val="00FB3A54"/>
    <w:rsid w:val="00FF7578"/>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uiPriority="39"/>
    <w:lsdException w:name="toc 7" w:uiPriority="39"/>
    <w:lsdException w:name="toc 8" w:uiPriority="39"/>
    <w:lsdException w:name="toc 9" w:uiPriority="39"/>
    <w:lsdException w:name="Normal Indent" w:semiHidden="0" w:uiPriority="4" w:qFormat="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3"/>
    <w:lsdException w:name="List Number" w:semiHidden="0" w:uiPriority="3"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1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2C52F1"/>
  </w:style>
  <w:style w:type="paragraph" w:styleId="Rubrik1">
    <w:name w:val="heading 1"/>
    <w:basedOn w:val="Normal"/>
    <w:next w:val="Normal"/>
    <w:link w:val="Rubrik1Char"/>
    <w:uiPriority w:val="9"/>
    <w:semiHidden/>
    <w:qFormat/>
    <w:rsid w:val="002C52F1"/>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2C52F1"/>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2C52F1"/>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2C52F1"/>
    <w:pPr>
      <w:keepLines w:val="0"/>
      <w:numPr>
        <w:numId w:val="3"/>
      </w:numPr>
      <w:spacing w:before="0"/>
    </w:pPr>
  </w:style>
  <w:style w:type="paragraph" w:customStyle="1" w:styleId="Nr-Rubrik2">
    <w:name w:val="Nr-Rubrik2"/>
    <w:basedOn w:val="Rubrik2"/>
    <w:next w:val="Normaltindrag"/>
    <w:link w:val="Nr-Rubrik2Char"/>
    <w:uiPriority w:val="1"/>
    <w:qFormat/>
    <w:rsid w:val="002C52F1"/>
    <w:pPr>
      <w:keepLines w:val="0"/>
      <w:numPr>
        <w:ilvl w:val="1"/>
        <w:numId w:val="3"/>
      </w:numPr>
      <w:spacing w:before="0"/>
    </w:pPr>
  </w:style>
  <w:style w:type="character" w:customStyle="1" w:styleId="Nr-Rubrik1Char">
    <w:name w:val="Nr-Rubrik1 Char"/>
    <w:basedOn w:val="Standardstycketeckensnitt"/>
    <w:link w:val="Nr-Rubrik1"/>
    <w:uiPriority w:val="1"/>
    <w:rsid w:val="002C52F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2C52F1"/>
    <w:pPr>
      <w:keepLines w:val="0"/>
      <w:numPr>
        <w:ilvl w:val="2"/>
        <w:numId w:val="3"/>
      </w:numPr>
    </w:pPr>
    <w:rPr>
      <w:b/>
      <w:sz w:val="19"/>
    </w:rPr>
  </w:style>
  <w:style w:type="paragraph" w:styleId="Sidhuvud">
    <w:name w:val="header"/>
    <w:basedOn w:val="Normal"/>
    <w:link w:val="SidhuvudChar"/>
    <w:uiPriority w:val="99"/>
    <w:unhideWhenUsed/>
    <w:rsid w:val="002C52F1"/>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2C52F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2C52F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2C52F1"/>
    <w:rPr>
      <w:rFonts w:asciiTheme="majorHAnsi" w:hAnsiTheme="majorHAnsi"/>
      <w:sz w:val="14"/>
    </w:rPr>
  </w:style>
  <w:style w:type="paragraph" w:styleId="Sidfot">
    <w:name w:val="footer"/>
    <w:basedOn w:val="Normal"/>
    <w:link w:val="SidfotChar"/>
    <w:uiPriority w:val="99"/>
    <w:unhideWhenUsed/>
    <w:rsid w:val="00EF5128"/>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EF5128"/>
    <w:rPr>
      <w:rFonts w:asciiTheme="majorHAnsi" w:hAnsiTheme="majorHAnsi"/>
      <w:caps/>
      <w:sz w:val="13"/>
    </w:rPr>
  </w:style>
  <w:style w:type="paragraph" w:customStyle="1" w:styleId="Styckenr11">
    <w:name w:val="Styckenr 1.1"/>
    <w:basedOn w:val="Nr-Rubrik2"/>
    <w:uiPriority w:val="1"/>
    <w:qFormat/>
    <w:rsid w:val="001A6E08"/>
    <w:pPr>
      <w:keepNext w:val="0"/>
      <w:outlineLvl w:val="9"/>
    </w:pPr>
    <w:rPr>
      <w:rFonts w:asciiTheme="minorHAnsi" w:hAnsiTheme="minorHAnsi"/>
      <w:b w:val="0"/>
      <w:sz w:val="21"/>
    </w:rPr>
  </w:style>
  <w:style w:type="paragraph" w:customStyle="1" w:styleId="Styckenr111">
    <w:name w:val="Styckenr 1.1.1"/>
    <w:basedOn w:val="Nr-Rubrik3"/>
    <w:uiPriority w:val="1"/>
    <w:qFormat/>
    <w:rsid w:val="001A6E08"/>
    <w:pPr>
      <w:keepNext w:val="0"/>
      <w:outlineLvl w:val="9"/>
    </w:pPr>
    <w:rPr>
      <w:rFonts w:asciiTheme="minorHAnsi" w:hAnsiTheme="minorHAnsi"/>
      <w:b w:val="0"/>
      <w:sz w:val="21"/>
    </w:rPr>
  </w:style>
  <w:style w:type="paragraph" w:customStyle="1" w:styleId="Styckenr1111">
    <w:name w:val="Styckenr 1.1.1.1"/>
    <w:basedOn w:val="Nr-Rubrik4"/>
    <w:uiPriority w:val="1"/>
    <w:qFormat/>
    <w:rsid w:val="004D5EB4"/>
    <w:rPr>
      <w:rFonts w:asciiTheme="minorHAnsi" w:hAnsiTheme="minorHAnsi"/>
      <w:b w:val="0"/>
      <w:sz w:val="21"/>
    </w:rPr>
  </w:style>
  <w:style w:type="paragraph" w:customStyle="1" w:styleId="a-lista">
    <w:name w:val="a-lista"/>
    <w:basedOn w:val="Normal"/>
    <w:uiPriority w:val="3"/>
    <w:qFormat/>
    <w:rsid w:val="00F312D7"/>
    <w:pPr>
      <w:numPr>
        <w:ilvl w:val="7"/>
        <w:numId w:val="3"/>
      </w:numPr>
      <w:ind w:left="1417" w:hanging="510"/>
    </w:pPr>
  </w:style>
  <w:style w:type="paragraph" w:customStyle="1" w:styleId="i-lista">
    <w:name w:val="i-lista"/>
    <w:basedOn w:val="Normal"/>
    <w:uiPriority w:val="3"/>
    <w:qFormat/>
    <w:rsid w:val="00F312D7"/>
    <w:pPr>
      <w:numPr>
        <w:ilvl w:val="8"/>
        <w:numId w:val="3"/>
      </w:numPr>
    </w:pPr>
  </w:style>
  <w:style w:type="paragraph" w:customStyle="1" w:styleId="Dokumentrubrik">
    <w:name w:val="Dokumentrubrik"/>
    <w:basedOn w:val="Normal"/>
    <w:next w:val="Normal"/>
    <w:uiPriority w:val="5"/>
    <w:qFormat/>
    <w:rsid w:val="00B55571"/>
    <w:pPr>
      <w:keepNext/>
      <w:spacing w:after="240" w:line="384" w:lineRule="atLeast"/>
    </w:pPr>
    <w:rPr>
      <w:rFonts w:asciiTheme="majorHAnsi" w:hAnsiTheme="majorHAnsi"/>
      <w:b/>
      <w:sz w:val="32"/>
    </w:rPr>
  </w:style>
  <w:style w:type="paragraph" w:styleId="Normaltindrag">
    <w:name w:val="Normal Indent"/>
    <w:basedOn w:val="Normal"/>
    <w:uiPriority w:val="4"/>
    <w:qFormat/>
    <w:rsid w:val="002C52F1"/>
    <w:pPr>
      <w:ind w:left="907"/>
    </w:pPr>
  </w:style>
  <w:style w:type="character" w:customStyle="1" w:styleId="Rubrik1Char">
    <w:name w:val="Rubrik 1 Char"/>
    <w:basedOn w:val="Standardstycketeckensnitt"/>
    <w:link w:val="Rubrik1"/>
    <w:uiPriority w:val="9"/>
    <w:semiHidden/>
    <w:rsid w:val="002C52F1"/>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2C52F1"/>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2C52F1"/>
    <w:rPr>
      <w:rFonts w:asciiTheme="majorHAnsi" w:eastAsiaTheme="majorEastAsia" w:hAnsiTheme="majorHAnsi" w:cstheme="majorBidi"/>
      <w:sz w:val="20"/>
      <w:szCs w:val="24"/>
    </w:rPr>
  </w:style>
  <w:style w:type="numbering" w:customStyle="1" w:styleId="Setterwallsnumrering">
    <w:name w:val="Setterwalls numrering"/>
    <w:uiPriority w:val="99"/>
    <w:rsid w:val="002C52F1"/>
    <w:pPr>
      <w:numPr>
        <w:numId w:val="1"/>
      </w:numPr>
    </w:pPr>
  </w:style>
  <w:style w:type="paragraph" w:styleId="Liststycke">
    <w:name w:val="List Paragraph"/>
    <w:basedOn w:val="Normal"/>
    <w:uiPriority w:val="34"/>
    <w:semiHidden/>
    <w:qFormat/>
    <w:rsid w:val="002C52F1"/>
    <w:pPr>
      <w:ind w:left="720"/>
      <w:contextualSpacing/>
    </w:pPr>
  </w:style>
  <w:style w:type="paragraph" w:styleId="Numreradlista">
    <w:name w:val="List Number"/>
    <w:basedOn w:val="Normal"/>
    <w:uiPriority w:val="3"/>
    <w:qFormat/>
    <w:rsid w:val="000E143B"/>
    <w:pPr>
      <w:numPr>
        <w:numId w:val="4"/>
      </w:numPr>
    </w:pPr>
  </w:style>
  <w:style w:type="paragraph" w:styleId="Innehll1">
    <w:name w:val="toc 1"/>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2C52F1"/>
    <w:rPr>
      <w:color w:val="0563C1" w:themeColor="hyperlink"/>
      <w:u w:val="single"/>
    </w:rPr>
  </w:style>
  <w:style w:type="paragraph" w:styleId="Punktlista">
    <w:name w:val="List Bullet"/>
    <w:basedOn w:val="Normal"/>
    <w:uiPriority w:val="3"/>
    <w:rsid w:val="002C52F1"/>
    <w:pPr>
      <w:numPr>
        <w:numId w:val="2"/>
      </w:numPr>
      <w:tabs>
        <w:tab w:val="clear" w:pos="360"/>
        <w:tab w:val="left" w:pos="1474"/>
      </w:tabs>
    </w:pPr>
  </w:style>
  <w:style w:type="character" w:styleId="Platshllartext">
    <w:name w:val="Placeholder Text"/>
    <w:basedOn w:val="Standardstycketeckensnitt"/>
    <w:uiPriority w:val="99"/>
    <w:semiHidden/>
    <w:rsid w:val="002C52F1"/>
    <w:rPr>
      <w:color w:val="808080"/>
    </w:rPr>
  </w:style>
  <w:style w:type="paragraph" w:styleId="Rubrik">
    <w:name w:val="Title"/>
    <w:basedOn w:val="Normal"/>
    <w:next w:val="Normal"/>
    <w:link w:val="RubrikChar"/>
    <w:uiPriority w:val="1"/>
    <w:rsid w:val="002C52F1"/>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2C52F1"/>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2C52F1"/>
    <w:pPr>
      <w:spacing w:after="0"/>
    </w:pPr>
    <w:rPr>
      <w:rFonts w:asciiTheme="majorHAnsi" w:hAnsiTheme="majorHAnsi"/>
      <w:sz w:val="20"/>
    </w:rPr>
  </w:style>
  <w:style w:type="paragraph" w:styleId="Citat">
    <w:name w:val="Quote"/>
    <w:basedOn w:val="Normal"/>
    <w:next w:val="Normal"/>
    <w:link w:val="CitatChar"/>
    <w:uiPriority w:val="10"/>
    <w:qFormat/>
    <w:rsid w:val="00B55571"/>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B55571"/>
    <w:rPr>
      <w:i/>
      <w:iCs/>
      <w:color w:val="404040" w:themeColor="text1" w:themeTint="BF"/>
      <w:sz w:val="18"/>
    </w:rPr>
  </w:style>
  <w:style w:type="table" w:styleId="Tabellrutnt">
    <w:name w:val="Table Grid"/>
    <w:basedOn w:val="Normaltabell"/>
    <w:uiPriority w:val="39"/>
    <w:rsid w:val="002C5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
    <w:name w:val="Styckenr 1"/>
    <w:basedOn w:val="Nr-Rubrik1"/>
    <w:uiPriority w:val="1"/>
    <w:qFormat/>
    <w:rsid w:val="001A6E08"/>
    <w:pPr>
      <w:keepNext w:val="0"/>
      <w:outlineLvl w:val="9"/>
    </w:pPr>
    <w:rPr>
      <w:rFonts w:asciiTheme="minorHAnsi" w:hAnsiTheme="minorHAnsi"/>
      <w:b w:val="0"/>
    </w:rPr>
  </w:style>
  <w:style w:type="table" w:customStyle="1" w:styleId="Setterwalls1">
    <w:name w:val="Setterwalls 1"/>
    <w:basedOn w:val="Normaltabell"/>
    <w:uiPriority w:val="99"/>
    <w:rsid w:val="00410998"/>
    <w:pPr>
      <w:spacing w:before="40" w:after="20" w:line="280" w:lineRule="atLeast"/>
    </w:pPr>
    <w:rPr>
      <w:sz w:val="21"/>
      <w:szCs w:val="21"/>
    </w:r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410998"/>
    <w:pPr>
      <w:spacing w:after="0" w:line="240" w:lineRule="auto"/>
    </w:pPr>
    <w:rPr>
      <w:sz w:val="21"/>
      <w:szCs w:val="21"/>
    </w:r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customStyle="1" w:styleId="PlainTable3">
    <w:name w:val="Plain Table 3"/>
    <w:basedOn w:val="Normaltabell"/>
    <w:uiPriority w:val="43"/>
    <w:rsid w:val="002C52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410998"/>
    <w:pPr>
      <w:spacing w:after="0" w:line="240" w:lineRule="auto"/>
    </w:pPr>
    <w:rPr>
      <w:sz w:val="21"/>
      <w:szCs w:val="21"/>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2C52F1"/>
    <w:pPr>
      <w:spacing w:after="60" w:line="200" w:lineRule="atLeast"/>
    </w:pPr>
    <w:rPr>
      <w:sz w:val="18"/>
    </w:rPr>
  </w:style>
  <w:style w:type="paragraph" w:styleId="Fotnotstext">
    <w:name w:val="footnote text"/>
    <w:basedOn w:val="Normal"/>
    <w:link w:val="FotnotstextChar"/>
    <w:uiPriority w:val="99"/>
    <w:semiHidden/>
    <w:unhideWhenUsed/>
    <w:rsid w:val="002C52F1"/>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2C52F1"/>
    <w:rPr>
      <w:sz w:val="16"/>
      <w:szCs w:val="20"/>
    </w:rPr>
  </w:style>
  <w:style w:type="paragraph" w:customStyle="1" w:styleId="Nr-Rubrik4">
    <w:name w:val="Nr-Rubrik4"/>
    <w:basedOn w:val="Normal"/>
    <w:uiPriority w:val="1"/>
    <w:qFormat/>
    <w:rsid w:val="002C52F1"/>
    <w:pPr>
      <w:numPr>
        <w:ilvl w:val="3"/>
        <w:numId w:val="3"/>
      </w:numPr>
    </w:pPr>
    <w:rPr>
      <w:rFonts w:asciiTheme="majorHAnsi" w:hAnsiTheme="majorHAnsi"/>
      <w:b/>
      <w:sz w:val="19"/>
    </w:rPr>
  </w:style>
  <w:style w:type="numbering" w:customStyle="1" w:styleId="SetterwallsNumreradlista">
    <w:name w:val="Setterwalls Numreradlista"/>
    <w:uiPriority w:val="99"/>
    <w:rsid w:val="000E143B"/>
    <w:pPr>
      <w:numPr>
        <w:numId w:val="4"/>
      </w:numPr>
    </w:pPr>
  </w:style>
  <w:style w:type="paragraph" w:customStyle="1" w:styleId="Nr-RubrikTabell">
    <w:name w:val="Nr-Rubrik Tabell"/>
    <w:basedOn w:val="Normal"/>
    <w:uiPriority w:val="2"/>
    <w:qFormat/>
    <w:rsid w:val="00410998"/>
    <w:pPr>
      <w:numPr>
        <w:numId w:val="6"/>
      </w:numPr>
      <w:spacing w:before="40" w:after="20" w:line="280" w:lineRule="atLeast"/>
      <w:outlineLvl w:val="0"/>
    </w:pPr>
    <w:rPr>
      <w:rFonts w:asciiTheme="majorHAnsi" w:hAnsiTheme="majorHAnsi"/>
      <w:b/>
      <w:sz w:val="21"/>
      <w:szCs w:val="21"/>
    </w:rPr>
  </w:style>
  <w:style w:type="paragraph" w:customStyle="1" w:styleId="RubrikTabell">
    <w:name w:val="Rubrik Tabell"/>
    <w:basedOn w:val="Normal"/>
    <w:uiPriority w:val="2"/>
    <w:qFormat/>
    <w:rsid w:val="00410998"/>
    <w:pPr>
      <w:spacing w:before="40" w:after="20" w:line="280" w:lineRule="atLeast"/>
    </w:pPr>
    <w:rPr>
      <w:rFonts w:asciiTheme="majorHAnsi" w:hAnsiTheme="majorHAnsi"/>
      <w:b/>
      <w:sz w:val="21"/>
      <w:szCs w:val="21"/>
    </w:rPr>
  </w:style>
  <w:style w:type="table" w:customStyle="1" w:styleId="Setterwalls4">
    <w:name w:val="Setterwalls 4"/>
    <w:basedOn w:val="Setterwalls1"/>
    <w:uiPriority w:val="99"/>
    <w:rsid w:val="00410998"/>
    <w:pPr>
      <w:spacing w:after="0" w:line="240" w:lineRule="auto"/>
    </w:pPr>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410998"/>
    <w:pPr>
      <w:numPr>
        <w:numId w:val="5"/>
      </w:numPr>
    </w:pPr>
  </w:style>
  <w:style w:type="paragraph" w:customStyle="1" w:styleId="Styckenr11Tabell">
    <w:name w:val="Styckenr 1.1 Tabell"/>
    <w:basedOn w:val="Normaltindrag"/>
    <w:uiPriority w:val="2"/>
    <w:qFormat/>
    <w:rsid w:val="00410998"/>
    <w:pPr>
      <w:numPr>
        <w:ilvl w:val="1"/>
        <w:numId w:val="6"/>
      </w:numPr>
      <w:spacing w:before="40" w:after="20" w:line="280" w:lineRule="atLeast"/>
    </w:pPr>
    <w:rPr>
      <w:sz w:val="21"/>
      <w:szCs w:val="21"/>
    </w:rPr>
  </w:style>
  <w:style w:type="paragraph" w:styleId="Ballongtext">
    <w:name w:val="Balloon Text"/>
    <w:basedOn w:val="Normal"/>
    <w:link w:val="BallongtextChar"/>
    <w:uiPriority w:val="99"/>
    <w:semiHidden/>
    <w:unhideWhenUsed/>
    <w:rsid w:val="00E348A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48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uiPriority="39"/>
    <w:lsdException w:name="toc 7" w:uiPriority="39"/>
    <w:lsdException w:name="toc 8" w:uiPriority="39"/>
    <w:lsdException w:name="toc 9" w:uiPriority="39"/>
    <w:lsdException w:name="Normal Indent" w:semiHidden="0" w:uiPriority="4" w:qFormat="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uiPriority="3"/>
    <w:lsdException w:name="List Number" w:semiHidden="0" w:uiPriority="3" w:qFormat="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1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2C52F1"/>
  </w:style>
  <w:style w:type="paragraph" w:styleId="Rubrik1">
    <w:name w:val="heading 1"/>
    <w:basedOn w:val="Normal"/>
    <w:next w:val="Normal"/>
    <w:link w:val="Rubrik1Char"/>
    <w:uiPriority w:val="9"/>
    <w:semiHidden/>
    <w:qFormat/>
    <w:rsid w:val="002C52F1"/>
    <w:pPr>
      <w:keepNext/>
      <w:keepLines/>
      <w:spacing w:before="320"/>
      <w:outlineLvl w:val="0"/>
    </w:pPr>
    <w:rPr>
      <w:rFonts w:asciiTheme="majorHAnsi" w:eastAsiaTheme="majorEastAsia" w:hAnsiTheme="majorHAnsi" w:cstheme="majorBidi"/>
      <w:b/>
      <w:szCs w:val="32"/>
    </w:rPr>
  </w:style>
  <w:style w:type="paragraph" w:styleId="Rubrik2">
    <w:name w:val="heading 2"/>
    <w:basedOn w:val="Normal"/>
    <w:next w:val="Normal"/>
    <w:link w:val="Rubrik2Char"/>
    <w:uiPriority w:val="9"/>
    <w:semiHidden/>
    <w:qFormat/>
    <w:rsid w:val="002C52F1"/>
    <w:pPr>
      <w:keepNext/>
      <w:keepLines/>
      <w:spacing w:before="280"/>
      <w:outlineLvl w:val="1"/>
    </w:pPr>
    <w:rPr>
      <w:rFonts w:asciiTheme="majorHAnsi" w:eastAsiaTheme="majorEastAsia" w:hAnsiTheme="majorHAnsi" w:cstheme="majorBidi"/>
      <w:b/>
      <w:sz w:val="20"/>
      <w:szCs w:val="26"/>
    </w:rPr>
  </w:style>
  <w:style w:type="paragraph" w:styleId="Rubrik3">
    <w:name w:val="heading 3"/>
    <w:basedOn w:val="Normal"/>
    <w:next w:val="Normal"/>
    <w:link w:val="Rubrik3Char"/>
    <w:uiPriority w:val="9"/>
    <w:semiHidden/>
    <w:qFormat/>
    <w:rsid w:val="002C52F1"/>
    <w:pPr>
      <w:keepNext/>
      <w:keepLines/>
      <w:outlineLvl w:val="2"/>
    </w:pPr>
    <w:rPr>
      <w:rFonts w:asciiTheme="majorHAnsi" w:eastAsiaTheme="majorEastAsia" w:hAnsiTheme="majorHAnsi" w:cstheme="majorBidi"/>
      <w:sz w:val="2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2C52F1"/>
    <w:pPr>
      <w:keepLines w:val="0"/>
      <w:numPr>
        <w:numId w:val="3"/>
      </w:numPr>
      <w:spacing w:before="0"/>
    </w:pPr>
  </w:style>
  <w:style w:type="paragraph" w:customStyle="1" w:styleId="Nr-Rubrik2">
    <w:name w:val="Nr-Rubrik2"/>
    <w:basedOn w:val="Rubrik2"/>
    <w:next w:val="Normaltindrag"/>
    <w:link w:val="Nr-Rubrik2Char"/>
    <w:uiPriority w:val="1"/>
    <w:qFormat/>
    <w:rsid w:val="002C52F1"/>
    <w:pPr>
      <w:keepLines w:val="0"/>
      <w:numPr>
        <w:ilvl w:val="1"/>
        <w:numId w:val="3"/>
      </w:numPr>
      <w:spacing w:before="0"/>
    </w:pPr>
  </w:style>
  <w:style w:type="character" w:customStyle="1" w:styleId="Nr-Rubrik1Char">
    <w:name w:val="Nr-Rubrik1 Char"/>
    <w:basedOn w:val="Standardstycketeckensnitt"/>
    <w:link w:val="Nr-Rubrik1"/>
    <w:uiPriority w:val="1"/>
    <w:rsid w:val="002C52F1"/>
    <w:rPr>
      <w:rFonts w:asciiTheme="majorHAnsi" w:eastAsiaTheme="majorEastAsia" w:hAnsiTheme="majorHAnsi" w:cstheme="majorBidi"/>
      <w:b/>
      <w:szCs w:val="32"/>
    </w:rPr>
  </w:style>
  <w:style w:type="paragraph" w:customStyle="1" w:styleId="Nr-Rubrik3">
    <w:name w:val="Nr-Rubrik3"/>
    <w:basedOn w:val="Rubrik3"/>
    <w:next w:val="Normaltindrag"/>
    <w:link w:val="Nr-Rubrik3Char"/>
    <w:uiPriority w:val="1"/>
    <w:qFormat/>
    <w:rsid w:val="002C52F1"/>
    <w:pPr>
      <w:keepLines w:val="0"/>
      <w:numPr>
        <w:ilvl w:val="2"/>
        <w:numId w:val="3"/>
      </w:numPr>
    </w:pPr>
    <w:rPr>
      <w:b/>
      <w:sz w:val="19"/>
    </w:rPr>
  </w:style>
  <w:style w:type="paragraph" w:styleId="Sidhuvud">
    <w:name w:val="header"/>
    <w:basedOn w:val="Normal"/>
    <w:link w:val="SidhuvudChar"/>
    <w:uiPriority w:val="99"/>
    <w:unhideWhenUsed/>
    <w:rsid w:val="002C52F1"/>
    <w:pPr>
      <w:tabs>
        <w:tab w:val="center" w:pos="4536"/>
        <w:tab w:val="right" w:pos="9072"/>
      </w:tabs>
      <w:spacing w:line="240" w:lineRule="auto"/>
    </w:pPr>
    <w:rPr>
      <w:rFonts w:asciiTheme="majorHAnsi" w:hAnsiTheme="majorHAnsi"/>
      <w:sz w:val="14"/>
    </w:rPr>
  </w:style>
  <w:style w:type="character" w:customStyle="1" w:styleId="Nr-Rubrik2Char">
    <w:name w:val="Nr-Rubrik2 Char"/>
    <w:basedOn w:val="Nr-Rubrik1Char"/>
    <w:link w:val="Nr-Rubrik2"/>
    <w:uiPriority w:val="1"/>
    <w:rsid w:val="002C52F1"/>
    <w:rPr>
      <w:rFonts w:asciiTheme="majorHAnsi" w:eastAsiaTheme="majorEastAsia" w:hAnsiTheme="majorHAnsi" w:cstheme="majorBidi"/>
      <w:b/>
      <w:sz w:val="20"/>
      <w:szCs w:val="26"/>
    </w:rPr>
  </w:style>
  <w:style w:type="character" w:customStyle="1" w:styleId="Nr-Rubrik3Char">
    <w:name w:val="Nr-Rubrik3 Char"/>
    <w:basedOn w:val="Nr-Rubrik2Char"/>
    <w:link w:val="Nr-Rubrik3"/>
    <w:uiPriority w:val="1"/>
    <w:rsid w:val="002C52F1"/>
    <w:rPr>
      <w:rFonts w:asciiTheme="majorHAnsi" w:eastAsiaTheme="majorEastAsia" w:hAnsiTheme="majorHAnsi" w:cstheme="majorBidi"/>
      <w:b/>
      <w:sz w:val="19"/>
      <w:szCs w:val="24"/>
    </w:rPr>
  </w:style>
  <w:style w:type="character" w:customStyle="1" w:styleId="SidhuvudChar">
    <w:name w:val="Sidhuvud Char"/>
    <w:basedOn w:val="Standardstycketeckensnitt"/>
    <w:link w:val="Sidhuvud"/>
    <w:uiPriority w:val="99"/>
    <w:rsid w:val="002C52F1"/>
    <w:rPr>
      <w:rFonts w:asciiTheme="majorHAnsi" w:hAnsiTheme="majorHAnsi"/>
      <w:sz w:val="14"/>
    </w:rPr>
  </w:style>
  <w:style w:type="paragraph" w:styleId="Sidfot">
    <w:name w:val="footer"/>
    <w:basedOn w:val="Normal"/>
    <w:link w:val="SidfotChar"/>
    <w:uiPriority w:val="99"/>
    <w:unhideWhenUsed/>
    <w:rsid w:val="00EF5128"/>
    <w:pPr>
      <w:tabs>
        <w:tab w:val="center" w:pos="4536"/>
        <w:tab w:val="right" w:pos="9072"/>
      </w:tabs>
      <w:spacing w:after="0" w:line="210" w:lineRule="atLeast"/>
    </w:pPr>
    <w:rPr>
      <w:rFonts w:asciiTheme="majorHAnsi" w:hAnsiTheme="majorHAnsi"/>
      <w:caps/>
      <w:sz w:val="13"/>
    </w:rPr>
  </w:style>
  <w:style w:type="character" w:customStyle="1" w:styleId="SidfotChar">
    <w:name w:val="Sidfot Char"/>
    <w:basedOn w:val="Standardstycketeckensnitt"/>
    <w:link w:val="Sidfot"/>
    <w:uiPriority w:val="99"/>
    <w:rsid w:val="00EF5128"/>
    <w:rPr>
      <w:rFonts w:asciiTheme="majorHAnsi" w:hAnsiTheme="majorHAnsi"/>
      <w:caps/>
      <w:sz w:val="13"/>
    </w:rPr>
  </w:style>
  <w:style w:type="paragraph" w:customStyle="1" w:styleId="Styckenr11">
    <w:name w:val="Styckenr 1.1"/>
    <w:basedOn w:val="Nr-Rubrik2"/>
    <w:uiPriority w:val="1"/>
    <w:qFormat/>
    <w:rsid w:val="001A6E08"/>
    <w:pPr>
      <w:keepNext w:val="0"/>
      <w:outlineLvl w:val="9"/>
    </w:pPr>
    <w:rPr>
      <w:rFonts w:asciiTheme="minorHAnsi" w:hAnsiTheme="minorHAnsi"/>
      <w:b w:val="0"/>
      <w:sz w:val="21"/>
    </w:rPr>
  </w:style>
  <w:style w:type="paragraph" w:customStyle="1" w:styleId="Styckenr111">
    <w:name w:val="Styckenr 1.1.1"/>
    <w:basedOn w:val="Nr-Rubrik3"/>
    <w:uiPriority w:val="1"/>
    <w:qFormat/>
    <w:rsid w:val="001A6E08"/>
    <w:pPr>
      <w:keepNext w:val="0"/>
      <w:outlineLvl w:val="9"/>
    </w:pPr>
    <w:rPr>
      <w:rFonts w:asciiTheme="minorHAnsi" w:hAnsiTheme="minorHAnsi"/>
      <w:b w:val="0"/>
      <w:sz w:val="21"/>
    </w:rPr>
  </w:style>
  <w:style w:type="paragraph" w:customStyle="1" w:styleId="Styckenr1111">
    <w:name w:val="Styckenr 1.1.1.1"/>
    <w:basedOn w:val="Nr-Rubrik4"/>
    <w:uiPriority w:val="1"/>
    <w:qFormat/>
    <w:rsid w:val="004D5EB4"/>
    <w:rPr>
      <w:rFonts w:asciiTheme="minorHAnsi" w:hAnsiTheme="minorHAnsi"/>
      <w:b w:val="0"/>
      <w:sz w:val="21"/>
    </w:rPr>
  </w:style>
  <w:style w:type="paragraph" w:customStyle="1" w:styleId="a-lista">
    <w:name w:val="a-lista"/>
    <w:basedOn w:val="Normal"/>
    <w:uiPriority w:val="3"/>
    <w:qFormat/>
    <w:rsid w:val="00F312D7"/>
    <w:pPr>
      <w:numPr>
        <w:ilvl w:val="7"/>
        <w:numId w:val="3"/>
      </w:numPr>
      <w:ind w:left="1417" w:hanging="510"/>
    </w:pPr>
  </w:style>
  <w:style w:type="paragraph" w:customStyle="1" w:styleId="i-lista">
    <w:name w:val="i-lista"/>
    <w:basedOn w:val="Normal"/>
    <w:uiPriority w:val="3"/>
    <w:qFormat/>
    <w:rsid w:val="00F312D7"/>
    <w:pPr>
      <w:numPr>
        <w:ilvl w:val="8"/>
        <w:numId w:val="3"/>
      </w:numPr>
    </w:pPr>
  </w:style>
  <w:style w:type="paragraph" w:customStyle="1" w:styleId="Dokumentrubrik">
    <w:name w:val="Dokumentrubrik"/>
    <w:basedOn w:val="Normal"/>
    <w:next w:val="Normal"/>
    <w:uiPriority w:val="5"/>
    <w:qFormat/>
    <w:rsid w:val="00B55571"/>
    <w:pPr>
      <w:keepNext/>
      <w:spacing w:after="240" w:line="384" w:lineRule="atLeast"/>
    </w:pPr>
    <w:rPr>
      <w:rFonts w:asciiTheme="majorHAnsi" w:hAnsiTheme="majorHAnsi"/>
      <w:b/>
      <w:sz w:val="32"/>
    </w:rPr>
  </w:style>
  <w:style w:type="paragraph" w:styleId="Normaltindrag">
    <w:name w:val="Normal Indent"/>
    <w:basedOn w:val="Normal"/>
    <w:uiPriority w:val="4"/>
    <w:qFormat/>
    <w:rsid w:val="002C52F1"/>
    <w:pPr>
      <w:ind w:left="907"/>
    </w:pPr>
  </w:style>
  <w:style w:type="character" w:customStyle="1" w:styleId="Rubrik1Char">
    <w:name w:val="Rubrik 1 Char"/>
    <w:basedOn w:val="Standardstycketeckensnitt"/>
    <w:link w:val="Rubrik1"/>
    <w:uiPriority w:val="9"/>
    <w:semiHidden/>
    <w:rsid w:val="002C52F1"/>
    <w:rPr>
      <w:rFonts w:asciiTheme="majorHAnsi" w:eastAsiaTheme="majorEastAsia" w:hAnsiTheme="majorHAnsi" w:cstheme="majorBidi"/>
      <w:b/>
      <w:szCs w:val="32"/>
    </w:rPr>
  </w:style>
  <w:style w:type="character" w:customStyle="1" w:styleId="Rubrik2Char">
    <w:name w:val="Rubrik 2 Char"/>
    <w:basedOn w:val="Standardstycketeckensnitt"/>
    <w:link w:val="Rubrik2"/>
    <w:uiPriority w:val="9"/>
    <w:semiHidden/>
    <w:rsid w:val="002C52F1"/>
    <w:rPr>
      <w:rFonts w:asciiTheme="majorHAnsi" w:eastAsiaTheme="majorEastAsia" w:hAnsiTheme="majorHAnsi" w:cstheme="majorBidi"/>
      <w:b/>
      <w:sz w:val="20"/>
      <w:szCs w:val="26"/>
    </w:rPr>
  </w:style>
  <w:style w:type="character" w:customStyle="1" w:styleId="Rubrik3Char">
    <w:name w:val="Rubrik 3 Char"/>
    <w:basedOn w:val="Standardstycketeckensnitt"/>
    <w:link w:val="Rubrik3"/>
    <w:uiPriority w:val="9"/>
    <w:semiHidden/>
    <w:rsid w:val="002C52F1"/>
    <w:rPr>
      <w:rFonts w:asciiTheme="majorHAnsi" w:eastAsiaTheme="majorEastAsia" w:hAnsiTheme="majorHAnsi" w:cstheme="majorBidi"/>
      <w:sz w:val="20"/>
      <w:szCs w:val="24"/>
    </w:rPr>
  </w:style>
  <w:style w:type="numbering" w:customStyle="1" w:styleId="Setterwallsnumrering">
    <w:name w:val="Setterwalls numrering"/>
    <w:uiPriority w:val="99"/>
    <w:rsid w:val="002C52F1"/>
    <w:pPr>
      <w:numPr>
        <w:numId w:val="1"/>
      </w:numPr>
    </w:pPr>
  </w:style>
  <w:style w:type="paragraph" w:styleId="Liststycke">
    <w:name w:val="List Paragraph"/>
    <w:basedOn w:val="Normal"/>
    <w:uiPriority w:val="34"/>
    <w:semiHidden/>
    <w:qFormat/>
    <w:rsid w:val="002C52F1"/>
    <w:pPr>
      <w:ind w:left="720"/>
      <w:contextualSpacing/>
    </w:pPr>
  </w:style>
  <w:style w:type="paragraph" w:styleId="Numreradlista">
    <w:name w:val="List Number"/>
    <w:basedOn w:val="Normal"/>
    <w:uiPriority w:val="3"/>
    <w:qFormat/>
    <w:rsid w:val="000E143B"/>
    <w:pPr>
      <w:numPr>
        <w:numId w:val="4"/>
      </w:numPr>
    </w:pPr>
  </w:style>
  <w:style w:type="paragraph" w:styleId="Innehll1">
    <w:name w:val="toc 1"/>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b/>
    </w:rPr>
  </w:style>
  <w:style w:type="paragraph" w:styleId="Innehll2">
    <w:name w:val="toc 2"/>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rPr>
  </w:style>
  <w:style w:type="paragraph" w:styleId="Innehll3">
    <w:name w:val="toc 3"/>
    <w:basedOn w:val="Normal"/>
    <w:next w:val="Normal"/>
    <w:autoRedefine/>
    <w:uiPriority w:val="39"/>
    <w:rsid w:val="003E6B64"/>
    <w:pPr>
      <w:tabs>
        <w:tab w:val="left" w:pos="851"/>
        <w:tab w:val="right" w:leader="dot" w:pos="8392"/>
      </w:tabs>
      <w:spacing w:before="60" w:after="0" w:line="240" w:lineRule="auto"/>
      <w:ind w:left="851" w:hanging="851"/>
    </w:pPr>
    <w:rPr>
      <w:rFonts w:asciiTheme="majorHAnsi" w:hAnsiTheme="majorHAnsi"/>
    </w:rPr>
  </w:style>
  <w:style w:type="character" w:styleId="Hyperlnk">
    <w:name w:val="Hyperlink"/>
    <w:basedOn w:val="Standardstycketeckensnitt"/>
    <w:uiPriority w:val="99"/>
    <w:unhideWhenUsed/>
    <w:rsid w:val="002C52F1"/>
    <w:rPr>
      <w:color w:val="0563C1" w:themeColor="hyperlink"/>
      <w:u w:val="single"/>
    </w:rPr>
  </w:style>
  <w:style w:type="paragraph" w:styleId="Punktlista">
    <w:name w:val="List Bullet"/>
    <w:basedOn w:val="Normal"/>
    <w:uiPriority w:val="3"/>
    <w:rsid w:val="002C52F1"/>
    <w:pPr>
      <w:numPr>
        <w:numId w:val="2"/>
      </w:numPr>
      <w:tabs>
        <w:tab w:val="clear" w:pos="360"/>
        <w:tab w:val="left" w:pos="1474"/>
      </w:tabs>
    </w:pPr>
  </w:style>
  <w:style w:type="character" w:styleId="Platshllartext">
    <w:name w:val="Placeholder Text"/>
    <w:basedOn w:val="Standardstycketeckensnitt"/>
    <w:uiPriority w:val="99"/>
    <w:semiHidden/>
    <w:rsid w:val="002C52F1"/>
    <w:rPr>
      <w:color w:val="808080"/>
    </w:rPr>
  </w:style>
  <w:style w:type="paragraph" w:styleId="Rubrik">
    <w:name w:val="Title"/>
    <w:basedOn w:val="Normal"/>
    <w:next w:val="Normal"/>
    <w:link w:val="RubrikChar"/>
    <w:uiPriority w:val="1"/>
    <w:rsid w:val="002C52F1"/>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rsid w:val="002C52F1"/>
    <w:rPr>
      <w:rFonts w:asciiTheme="majorHAnsi" w:eastAsiaTheme="majorEastAsia" w:hAnsiTheme="majorHAnsi" w:cstheme="majorBidi"/>
      <w:b/>
      <w:spacing w:val="-10"/>
      <w:kern w:val="28"/>
      <w:szCs w:val="56"/>
    </w:rPr>
  </w:style>
  <w:style w:type="paragraph" w:customStyle="1" w:styleId="Adress">
    <w:name w:val="Adress"/>
    <w:basedOn w:val="Normal"/>
    <w:uiPriority w:val="10"/>
    <w:rsid w:val="002C52F1"/>
    <w:pPr>
      <w:spacing w:after="0"/>
    </w:pPr>
    <w:rPr>
      <w:rFonts w:asciiTheme="majorHAnsi" w:hAnsiTheme="majorHAnsi"/>
      <w:sz w:val="20"/>
    </w:rPr>
  </w:style>
  <w:style w:type="paragraph" w:styleId="Citat">
    <w:name w:val="Quote"/>
    <w:basedOn w:val="Normal"/>
    <w:next w:val="Normal"/>
    <w:link w:val="CitatChar"/>
    <w:uiPriority w:val="10"/>
    <w:qFormat/>
    <w:rsid w:val="00B55571"/>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B55571"/>
    <w:rPr>
      <w:i/>
      <w:iCs/>
      <w:color w:val="404040" w:themeColor="text1" w:themeTint="BF"/>
      <w:sz w:val="18"/>
    </w:rPr>
  </w:style>
  <w:style w:type="table" w:styleId="Tabellrutnt">
    <w:name w:val="Table Grid"/>
    <w:basedOn w:val="Normaltabell"/>
    <w:uiPriority w:val="39"/>
    <w:rsid w:val="002C52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ckenr1">
    <w:name w:val="Styckenr 1"/>
    <w:basedOn w:val="Nr-Rubrik1"/>
    <w:uiPriority w:val="1"/>
    <w:qFormat/>
    <w:rsid w:val="001A6E08"/>
    <w:pPr>
      <w:keepNext w:val="0"/>
      <w:outlineLvl w:val="9"/>
    </w:pPr>
    <w:rPr>
      <w:rFonts w:asciiTheme="minorHAnsi" w:hAnsiTheme="minorHAnsi"/>
      <w:b w:val="0"/>
    </w:rPr>
  </w:style>
  <w:style w:type="table" w:customStyle="1" w:styleId="Setterwalls1">
    <w:name w:val="Setterwalls 1"/>
    <w:basedOn w:val="Normaltabell"/>
    <w:uiPriority w:val="99"/>
    <w:rsid w:val="00410998"/>
    <w:pPr>
      <w:spacing w:before="40" w:after="20" w:line="280" w:lineRule="atLeast"/>
    </w:pPr>
    <w:rPr>
      <w:sz w:val="21"/>
      <w:szCs w:val="21"/>
    </w:rPr>
    <w:tblPr>
      <w:tblStyleRowBandSize w:val="1"/>
      <w:tblBorders>
        <w:top w:val="single" w:sz="4" w:space="0" w:color="041C2C" w:themeColor="accent1"/>
        <w:left w:val="single" w:sz="4" w:space="0" w:color="041C2C" w:themeColor="accent1"/>
        <w:bottom w:val="single" w:sz="4" w:space="0" w:color="041C2C" w:themeColor="accent1"/>
        <w:right w:val="single" w:sz="4" w:space="0" w:color="041C2C" w:themeColor="accent1"/>
        <w:insideH w:val="single" w:sz="4" w:space="0" w:color="041C2C" w:themeColor="accent1"/>
        <w:insideV w:val="single" w:sz="4" w:space="0" w:color="041C2C" w:themeColor="accent1"/>
      </w:tblBorders>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style>
  <w:style w:type="table" w:customStyle="1" w:styleId="Setterwalls2">
    <w:name w:val="Setterwalls 2"/>
    <w:basedOn w:val="Normaltabell"/>
    <w:uiPriority w:val="99"/>
    <w:rsid w:val="00410998"/>
    <w:pPr>
      <w:spacing w:after="0" w:line="240" w:lineRule="auto"/>
    </w:pPr>
    <w:rPr>
      <w:sz w:val="21"/>
      <w:szCs w:val="21"/>
    </w:rPr>
    <w:tblPr>
      <w:tblStyleRowBandSize w:val="1"/>
      <w:tblCellMar>
        <w:top w:w="28" w:type="dxa"/>
        <w:left w:w="85" w:type="dxa"/>
        <w:bottom w:w="28" w:type="dxa"/>
        <w:right w:w="85" w:type="dxa"/>
      </w:tblCellMar>
    </w:tblPr>
    <w:tblStylePr w:type="firstRow">
      <w:rPr>
        <w:rFonts w:asciiTheme="majorHAnsi" w:hAnsiTheme="majorHAnsi"/>
        <w:b w:val="0"/>
        <w:sz w:val="21"/>
      </w:rPr>
      <w:tblPr/>
      <w:tcPr>
        <w:tcBorders>
          <w:bottom w:val="single" w:sz="4" w:space="0" w:color="041C2C" w:themeColor="accent1"/>
        </w:tcBorders>
      </w:tcPr>
    </w:tblStylePr>
    <w:tblStylePr w:type="lastRow">
      <w:tblPr/>
      <w:tcPr>
        <w:tcBorders>
          <w:top w:val="single" w:sz="4" w:space="0" w:color="041C2C" w:themeColor="accent1"/>
        </w:tcBorders>
      </w:tcPr>
    </w:tblStylePr>
    <w:tblStylePr w:type="firstCol">
      <w:rPr>
        <w:rFonts w:asciiTheme="majorHAnsi" w:hAnsiTheme="majorHAnsi"/>
        <w:b w:val="0"/>
        <w:sz w:val="21"/>
      </w:rPr>
      <w:tblPr/>
      <w:tcPr>
        <w:tcBorders>
          <w:right w:val="single" w:sz="4" w:space="0" w:color="041C2C" w:themeColor="accent1"/>
        </w:tcBorders>
      </w:tcPr>
    </w:tblStylePr>
    <w:tblStylePr w:type="band1Horz">
      <w:tblPr/>
      <w:tcPr>
        <w:shd w:val="clear" w:color="auto" w:fill="E2E2E2" w:themeFill="accent6" w:themeFillTint="33"/>
      </w:tcPr>
    </w:tblStylePr>
    <w:tblStylePr w:type="nwCell">
      <w:tblPr/>
      <w:tcPr>
        <w:tcBorders>
          <w:right w:val="nil"/>
        </w:tcBorders>
      </w:tcPr>
    </w:tblStylePr>
    <w:tblStylePr w:type="swCell">
      <w:tblPr/>
      <w:tcPr>
        <w:tcBorders>
          <w:right w:val="nil"/>
        </w:tcBorders>
      </w:tcPr>
    </w:tblStylePr>
  </w:style>
  <w:style w:type="table" w:customStyle="1" w:styleId="PlainTable3">
    <w:name w:val="Plain Table 3"/>
    <w:basedOn w:val="Normaltabell"/>
    <w:uiPriority w:val="43"/>
    <w:rsid w:val="002C52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etterwalls3">
    <w:name w:val="Setterwalls 3"/>
    <w:basedOn w:val="Normaltabell"/>
    <w:uiPriority w:val="99"/>
    <w:rsid w:val="00410998"/>
    <w:pPr>
      <w:spacing w:after="0" w:line="240" w:lineRule="auto"/>
    </w:pPr>
    <w:rPr>
      <w:sz w:val="21"/>
      <w:szCs w:val="21"/>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85" w:type="dxa"/>
        <w:bottom w:w="28" w:type="dxa"/>
        <w:right w:w="85" w:type="dxa"/>
      </w:tblCellMar>
    </w:tblPr>
    <w:tblStylePr w:type="firstRow">
      <w:rPr>
        <w:rFonts w:asciiTheme="majorHAnsi" w:hAnsiTheme="majorHAnsi"/>
        <w:b w:val="0"/>
        <w:color w:val="FFFFFF" w:themeColor="background1"/>
        <w:sz w:val="21"/>
      </w:rPr>
      <w:tblPr/>
      <w:tcPr>
        <w:shd w:val="clear" w:color="auto" w:fill="000000" w:themeFill="text1"/>
      </w:tcPr>
    </w:tblStylePr>
    <w:tblStylePr w:type="firstCol">
      <w:rPr>
        <w:rFonts w:asciiTheme="majorHAnsi" w:hAnsiTheme="majorHAnsi"/>
        <w:b w:val="0"/>
        <w:sz w:val="21"/>
      </w:rPr>
    </w:tblStylePr>
    <w:tblStylePr w:type="band2Horz">
      <w:tblPr/>
      <w:tcPr>
        <w:shd w:val="clear" w:color="auto" w:fill="F2F2F2" w:themeFill="background1" w:themeFillShade="F2"/>
      </w:tcPr>
    </w:tblStylePr>
  </w:style>
  <w:style w:type="paragraph" w:customStyle="1" w:styleId="Avsndartext">
    <w:name w:val="Avsändartext"/>
    <w:basedOn w:val="Normal"/>
    <w:uiPriority w:val="13"/>
    <w:rsid w:val="002C52F1"/>
    <w:pPr>
      <w:spacing w:after="60" w:line="200" w:lineRule="atLeast"/>
    </w:pPr>
    <w:rPr>
      <w:sz w:val="18"/>
    </w:rPr>
  </w:style>
  <w:style w:type="paragraph" w:styleId="Fotnotstext">
    <w:name w:val="footnote text"/>
    <w:basedOn w:val="Normal"/>
    <w:link w:val="FotnotstextChar"/>
    <w:uiPriority w:val="99"/>
    <w:semiHidden/>
    <w:unhideWhenUsed/>
    <w:rsid w:val="002C52F1"/>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2C52F1"/>
    <w:rPr>
      <w:sz w:val="16"/>
      <w:szCs w:val="20"/>
    </w:rPr>
  </w:style>
  <w:style w:type="paragraph" w:customStyle="1" w:styleId="Nr-Rubrik4">
    <w:name w:val="Nr-Rubrik4"/>
    <w:basedOn w:val="Normal"/>
    <w:uiPriority w:val="1"/>
    <w:qFormat/>
    <w:rsid w:val="002C52F1"/>
    <w:pPr>
      <w:numPr>
        <w:ilvl w:val="3"/>
        <w:numId w:val="3"/>
      </w:numPr>
    </w:pPr>
    <w:rPr>
      <w:rFonts w:asciiTheme="majorHAnsi" w:hAnsiTheme="majorHAnsi"/>
      <w:b/>
      <w:sz w:val="19"/>
    </w:rPr>
  </w:style>
  <w:style w:type="numbering" w:customStyle="1" w:styleId="SetterwallsNumreradlista">
    <w:name w:val="Setterwalls Numreradlista"/>
    <w:uiPriority w:val="99"/>
    <w:rsid w:val="000E143B"/>
    <w:pPr>
      <w:numPr>
        <w:numId w:val="4"/>
      </w:numPr>
    </w:pPr>
  </w:style>
  <w:style w:type="paragraph" w:customStyle="1" w:styleId="Nr-RubrikTabell">
    <w:name w:val="Nr-Rubrik Tabell"/>
    <w:basedOn w:val="Normal"/>
    <w:uiPriority w:val="2"/>
    <w:qFormat/>
    <w:rsid w:val="00410998"/>
    <w:pPr>
      <w:numPr>
        <w:numId w:val="6"/>
      </w:numPr>
      <w:spacing w:before="40" w:after="20" w:line="280" w:lineRule="atLeast"/>
      <w:outlineLvl w:val="0"/>
    </w:pPr>
    <w:rPr>
      <w:rFonts w:asciiTheme="majorHAnsi" w:hAnsiTheme="majorHAnsi"/>
      <w:b/>
      <w:sz w:val="21"/>
      <w:szCs w:val="21"/>
    </w:rPr>
  </w:style>
  <w:style w:type="paragraph" w:customStyle="1" w:styleId="RubrikTabell">
    <w:name w:val="Rubrik Tabell"/>
    <w:basedOn w:val="Normal"/>
    <w:uiPriority w:val="2"/>
    <w:qFormat/>
    <w:rsid w:val="00410998"/>
    <w:pPr>
      <w:spacing w:before="40" w:after="20" w:line="280" w:lineRule="atLeast"/>
    </w:pPr>
    <w:rPr>
      <w:rFonts w:asciiTheme="majorHAnsi" w:hAnsiTheme="majorHAnsi"/>
      <w:b/>
      <w:sz w:val="21"/>
      <w:szCs w:val="21"/>
    </w:rPr>
  </w:style>
  <w:style w:type="table" w:customStyle="1" w:styleId="Setterwalls4">
    <w:name w:val="Setterwalls 4"/>
    <w:basedOn w:val="Setterwalls1"/>
    <w:uiPriority w:val="99"/>
    <w:rsid w:val="00410998"/>
    <w:pPr>
      <w:spacing w:after="0" w:line="240" w:lineRule="auto"/>
    </w:pPr>
    <w:tblPr>
      <w:tbl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blBorders>
    </w:tblPr>
    <w:tblStylePr w:type="firstRow">
      <w:rPr>
        <w:rFonts w:asciiTheme="majorHAnsi" w:hAnsiTheme="majorHAnsi"/>
        <w:b w:val="0"/>
        <w:color w:val="FFFFFF" w:themeColor="background1"/>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shd w:val="clear" w:color="auto" w:fill="44546A" w:themeFill="text2"/>
      </w:tcPr>
    </w:tblStylePr>
    <w:tblStylePr w:type="lastRow">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firstCol">
      <w:rPr>
        <w:rFonts w:asciiTheme="minorHAnsi" w:hAnsiTheme="minorHAnsi"/>
        <w:b w:val="0"/>
        <w:sz w:val="21"/>
      </w:rPr>
      <w:tblPr/>
      <w:tcPr>
        <w:tcBorders>
          <w:top w:val="single" w:sz="4" w:space="0" w:color="A59C94" w:themeColor="accent4"/>
          <w:left w:val="single" w:sz="4" w:space="0" w:color="A59C94" w:themeColor="accent4"/>
          <w:bottom w:val="single" w:sz="4" w:space="0" w:color="A59C94" w:themeColor="accent4"/>
          <w:right w:val="single" w:sz="4" w:space="0" w:color="A59C94" w:themeColor="accent4"/>
          <w:insideH w:val="single" w:sz="4" w:space="0" w:color="A59C94" w:themeColor="accent4"/>
          <w:insideV w:val="single" w:sz="4" w:space="0" w:color="A59C94" w:themeColor="accent4"/>
        </w:tcBorders>
      </w:tcPr>
    </w:tblStylePr>
    <w:tblStylePr w:type="band1Horz">
      <w:tblPr/>
      <w:tcPr>
        <w:shd w:val="clear" w:color="auto" w:fill="FFFFFF" w:themeFill="background1"/>
      </w:tcPr>
    </w:tblStylePr>
  </w:style>
  <w:style w:type="numbering" w:customStyle="1" w:styleId="SetterwallsTabellnumrering">
    <w:name w:val="Setterwalls Tabellnumrering"/>
    <w:uiPriority w:val="99"/>
    <w:rsid w:val="00410998"/>
    <w:pPr>
      <w:numPr>
        <w:numId w:val="5"/>
      </w:numPr>
    </w:pPr>
  </w:style>
  <w:style w:type="paragraph" w:customStyle="1" w:styleId="Styckenr11Tabell">
    <w:name w:val="Styckenr 1.1 Tabell"/>
    <w:basedOn w:val="Normaltindrag"/>
    <w:uiPriority w:val="2"/>
    <w:qFormat/>
    <w:rsid w:val="00410998"/>
    <w:pPr>
      <w:numPr>
        <w:ilvl w:val="1"/>
        <w:numId w:val="6"/>
      </w:numPr>
      <w:spacing w:before="40" w:after="20" w:line="280" w:lineRule="atLeast"/>
    </w:pPr>
    <w:rPr>
      <w:sz w:val="21"/>
      <w:szCs w:val="21"/>
    </w:rPr>
  </w:style>
  <w:style w:type="paragraph" w:styleId="Ballongtext">
    <w:name w:val="Balloon Text"/>
    <w:basedOn w:val="Normal"/>
    <w:link w:val="BallongtextChar"/>
    <w:uiPriority w:val="99"/>
    <w:semiHidden/>
    <w:unhideWhenUsed/>
    <w:rsid w:val="00E348A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48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0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microsoft.com/office/2007/relationships/stylesWithEffects" Target="stylesWithEffect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mänt"/>
          <w:gallery w:val="placeholder"/>
        </w:category>
        <w:types>
          <w:type w:val="bbPlcHdr"/>
        </w:types>
        <w:behaviors>
          <w:behavior w:val="content"/>
        </w:behaviors>
        <w:guid w:val="{D47FB829-F420-4F80-8297-8F80443BBCAF}"/>
      </w:docPartPr>
      <w:docPartBody>
        <w:p w:rsidR="001D6E4B" w:rsidRDefault="00157668">
          <w:r w:rsidRPr="00783C9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68"/>
    <w:rsid w:val="00157668"/>
    <w:rsid w:val="001D6E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766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76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Setterwalls">
      <a:dk1>
        <a:sysClr val="windowText" lastClr="000000"/>
      </a:dk1>
      <a:lt1>
        <a:sysClr val="window" lastClr="FFFFFF"/>
      </a:lt1>
      <a:dk2>
        <a:srgbClr val="44546A"/>
      </a:dk2>
      <a:lt2>
        <a:srgbClr val="E7E6E6"/>
      </a:lt2>
      <a:accent1>
        <a:srgbClr val="041C2C"/>
      </a:accent1>
      <a:accent2>
        <a:srgbClr val="E5164B"/>
      </a:accent2>
      <a:accent3>
        <a:srgbClr val="1B223C"/>
      </a:accent3>
      <a:accent4>
        <a:srgbClr val="A59C94"/>
      </a:accent4>
      <a:accent5>
        <a:srgbClr val="D0D3D4"/>
      </a:accent5>
      <a:accent6>
        <a:srgbClr val="706F6F"/>
      </a:accent6>
      <a:hlink>
        <a:srgbClr val="0563C1"/>
      </a:hlink>
      <a:folHlink>
        <a:srgbClr val="954F72"/>
      </a:folHlink>
    </a:clrScheme>
    <a:fontScheme name="Setterwalls WD">
      <a:majorFont>
        <a:latin typeface="Arial"/>
        <a:ea typeface=""/>
        <a:cs typeface="Times New Roman"/>
      </a:majorFont>
      <a:minorFont>
        <a:latin typeface="Georgia"/>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888DA45AAC7D468C8CE2C5D475BCC1" ma:contentTypeVersion="33" ma:contentTypeDescription="Create a new document." ma:contentTypeScope="" ma:versionID="182e6bdea3460424e0e30cbf050f8374">
  <xsd:schema xmlns:xsd="http://www.w3.org/2001/XMLSchema" xmlns:xs="http://www.w3.org/2001/XMLSchema" xmlns:p="http://schemas.microsoft.com/office/2006/metadata/properties" xmlns:ns2="a1e4a3f8-44d2-41b6-a8a2-32c51d9ab638" xmlns:ns3="9420b954-2978-4be1-9716-725f2dcfbcf0" xmlns:ns4="cfce0e87-da43-4cad-84ec-16a994054c6c" xmlns:ns5="a102ebdb-2d63-4878-9399-96184b917ef6" targetNamespace="http://schemas.microsoft.com/office/2006/metadata/properties" ma:root="true" ma:fieldsID="643648d63eacb70ecdd0bc64bf3262f3" ns2:_="" ns3:_="" ns4:_="" ns5:_="">
    <xsd:import namespace="a1e4a3f8-44d2-41b6-a8a2-32c51d9ab638"/>
    <xsd:import namespace="9420b954-2978-4be1-9716-725f2dcfbcf0"/>
    <xsd:import namespace="cfce0e87-da43-4cad-84ec-16a994054c6c"/>
    <xsd:import namespace="a102ebdb-2d63-4878-9399-96184b917ef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MediaServiceSearchProperties" minOccurs="0"/>
                <xsd:element ref="ns4:INITECH_ProjectId" minOccurs="0"/>
                <xsd:element ref="ns4:INITECH_ProjectTitle" minOccurs="0"/>
                <xsd:element ref="ns4:INITECH_IsVisible" minOccurs="0"/>
                <xsd:element ref="ns4:i95d6d8ddf6a475c8f3b7d32a3b98687" minOccurs="0"/>
                <xsd:element ref="ns4:TaxCatchAll" minOccurs="0"/>
                <xsd:element ref="ns4:mc743463e2e84096bb7b22fa172acda6" minOccurs="0"/>
                <xsd:element ref="ns4:cde2880b1130469b84bffc85130a9e8a" minOccurs="0"/>
                <xsd:element ref="ns5:MediaServiceObjectDetectorVersion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4a3f8-44d2-41b6-a8a2-32c51d9a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20b954-2978-4be1-9716-725f2dcfbc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e0e87-da43-4cad-84ec-16a994054c6c" elementFormDefault="qualified">
    <xsd:import namespace="http://schemas.microsoft.com/office/2006/documentManagement/types"/>
    <xsd:import namespace="http://schemas.microsoft.com/office/infopath/2007/PartnerControls"/>
    <xsd:element name="INITECH_ProjectId" ma:index="21" nillable="true" ma:displayName="ID-nummer" ma:description="Detta fält används av systemet, ta inte bort det!" ma:internalName="INITECH_ProjectId">
      <xsd:simpleType>
        <xsd:restriction base="dms:Text">
          <xsd:maxLength value="150"/>
        </xsd:restriction>
      </xsd:simpleType>
    </xsd:element>
    <xsd:element name="INITECH_ProjectTitle" ma:index="22" nillable="true" ma:displayName="Gruppnamn" ma:description="Detta fält används av systemet, ta inte bort det!" ma:internalName="INITECH_ProjectTitle">
      <xsd:simpleType>
        <xsd:restriction base="dms:Text">
          <xsd:maxLength value="150"/>
        </xsd:restriction>
      </xsd:simpleType>
    </xsd:element>
    <xsd:element name="INITECH_IsVisible" ma:index="23" nillable="true" ma:displayName="Synlig" ma:default="1" ma:description="" ma:internalName="INITECH_IsVisible">
      <xsd:simpleType>
        <xsd:restriction base="dms:Boolean"/>
      </xsd:simpleType>
    </xsd:element>
    <xsd:element name="i95d6d8ddf6a475c8f3b7d32a3b98687" ma:index="25" nillable="true" ma:taxonomy="true" ma:internalName="i95d6d8ddf6a475c8f3b7d32a3b98687" ma:taxonomyFieldName="INITECH_ProjectProcess" ma:displayName="Process" ma:fieldId="{295d6d8d-df6a-475c-8f3b-7d32a3b98687}" ma:taxonomyMulti="true" ma:sspId="31502263-9b26-43a4-b347-30d5a8ccde1b" ma:termSetId="00000000-0000-0000-0000-000000000000" ma:anchorId="00000000-0000-0000-0000-000000000000" ma:open="false" ma:isKeyword="false">
      <xsd:complexType>
        <xsd:sequence>
          <xsd:element ref="pc:Terms" minOccurs="0" maxOccurs="1"/>
        </xsd:sequence>
      </xsd:complexType>
    </xsd:element>
    <xsd:element name="TaxCatchAll" ma:index="26" nillable="true" ma:displayName="Taxonomy Catch All Column" ma:hidden="true" ma:list="{40e763cc-9a1e-4bb1-b1f3-a03498cb3701}" ma:internalName="TaxCatchAll" ma:showField="CatchAllData" ma:web="cfce0e87-da43-4cad-84ec-16a994054c6c">
      <xsd:complexType>
        <xsd:complexContent>
          <xsd:extension base="dms:MultiChoiceLookup">
            <xsd:sequence>
              <xsd:element name="Value" type="dms:Lookup" maxOccurs="unbounded" minOccurs="0" nillable="true"/>
            </xsd:sequence>
          </xsd:extension>
        </xsd:complexContent>
      </xsd:complexType>
    </xsd:element>
    <xsd:element name="mc743463e2e84096bb7b22fa172acda6" ma:index="28" nillable="true" ma:taxonomy="true" ma:internalName="mc743463e2e84096bb7b22fa172acda6" ma:taxonomyFieldName="INITECH_CrossProcess" ma:displayName="Tvärprocessfilter" ma:fieldId="{6c743463-e2e8-4096-bb7b-22fa172acda6}" ma:taxonomyMulti="true" ma:sspId="31502263-9b26-43a4-b347-30d5a8ccde1b" ma:termSetId="0efd399d-591b-4ebf-970b-b49fad859ace" ma:anchorId="00000000-0000-0000-0000-000000000000" ma:open="false" ma:isKeyword="false">
      <xsd:complexType>
        <xsd:sequence>
          <xsd:element ref="pc:Terms" minOccurs="0" maxOccurs="1"/>
        </xsd:sequence>
      </xsd:complexType>
    </xsd:element>
    <xsd:element name="cde2880b1130469b84bffc85130a9e8a" ma:index="30" nillable="true" ma:taxonomy="true" ma:internalName="cde2880b1130469b84bffc85130a9e8a" ma:taxonomyFieldName="INITECH_VS_DocumentType" ma:displayName="Dokumenttyp" ma:fieldId="{cde2880b-1130-469b-84bf-fc85130a9e8a}" ma:taxonomyMulti="true" ma:sspId="31502263-9b26-43a4-b347-30d5a8ccde1b" ma:termSetId="7601b124-40ce-4e87-a6af-38c564a2d05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02ebdb-2d63-4878-9399-96184b917ef6"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31502263-9b26-43a4-b347-30d5a8ccde1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de2880b1130469b84bffc85130a9e8a xmlns="cfce0e87-da43-4cad-84ec-16a994054c6c">
      <Terms xmlns="http://schemas.microsoft.com/office/infopath/2007/PartnerControls"/>
    </cde2880b1130469b84bffc85130a9e8a>
    <INITECH_IsVisible xmlns="cfce0e87-da43-4cad-84ec-16a994054c6c">true</INITECH_IsVisible>
    <INITECH_ProjectId xmlns="cfce0e87-da43-4cad-84ec-16a994054c6c" xsi:nil="true"/>
    <mc743463e2e84096bb7b22fa172acda6 xmlns="cfce0e87-da43-4cad-84ec-16a994054c6c">
      <Terms xmlns="http://schemas.microsoft.com/office/infopath/2007/PartnerControls"/>
    </mc743463e2e84096bb7b22fa172acda6>
    <i95d6d8ddf6a475c8f3b7d32a3b98687 xmlns="cfce0e87-da43-4cad-84ec-16a994054c6c">
      <Terms xmlns="http://schemas.microsoft.com/office/infopath/2007/PartnerControls"/>
    </i95d6d8ddf6a475c8f3b7d32a3b98687>
    <INITECH_ProjectTitle xmlns="cfce0e87-da43-4cad-84ec-16a994054c6c" xsi:nil="true"/>
    <lcf76f155ced4ddcb4097134ff3c332f xmlns="a102ebdb-2d63-4878-9399-96184b917ef6">
      <Terms xmlns="http://schemas.microsoft.com/office/infopath/2007/PartnerControls"/>
    </lcf76f155ced4ddcb4097134ff3c332f>
    <TaxCatchAll xmlns="cfce0e87-da43-4cad-84ec-16a994054c6c" xsi:nil="true"/>
    <SharedWithUsers xmlns="9420b954-2978-4be1-9716-725f2dcfbcf0">
      <UserInfo>
        <DisplayName/>
        <AccountId xsi:nil="true"/>
        <AccountType/>
      </UserInfo>
    </SharedWithUsers>
    <MediaLengthInSeconds xmlns="a1e4a3f8-44d2-41b6-a8a2-32c51d9ab638" xsi:nil="true"/>
  </documentManagement>
</p:properties>
</file>

<file path=customXml/itemProps1.xml><?xml version="1.0" encoding="utf-8"?>
<ds:datastoreItem xmlns:ds="http://schemas.openxmlformats.org/officeDocument/2006/customXml" ds:itemID="{F6E25EB9-6AC9-488E-AF92-5AA96040B014}">
  <ds:schemaRefs>
    <ds:schemaRef ds:uri="http://schemas.openxmlformats.org/officeDocument/2006/bibliography"/>
  </ds:schemaRefs>
</ds:datastoreItem>
</file>

<file path=customXml/itemProps2.xml><?xml version="1.0" encoding="utf-8"?>
<ds:datastoreItem xmlns:ds="http://schemas.openxmlformats.org/officeDocument/2006/customXml" ds:itemID="{0FAFB284-6FB9-40D9-B20F-F69DAA709FC9}"/>
</file>

<file path=customXml/itemProps3.xml><?xml version="1.0" encoding="utf-8"?>
<ds:datastoreItem xmlns:ds="http://schemas.openxmlformats.org/officeDocument/2006/customXml" ds:itemID="{EC171C20-3F3F-4078-86E3-740FD35BF253}"/>
</file>

<file path=customXml/itemProps4.xml><?xml version="1.0" encoding="utf-8"?>
<ds:datastoreItem xmlns:ds="http://schemas.openxmlformats.org/officeDocument/2006/customXml" ds:itemID="{ADC685C3-3D42-4FBA-9F44-179D5CC614B5}"/>
</file>

<file path=docProps/app.xml><?xml version="1.0" encoding="utf-8"?>
<Properties xmlns="http://schemas.openxmlformats.org/officeDocument/2006/extended-properties" xmlns:vt="http://schemas.openxmlformats.org/officeDocument/2006/docPropsVTypes">
  <Pages>3</Pages>
  <Words>1193</Words>
  <Characters>6313</Characters>
  <Application>Microsoft Office Word</Application>
  <DocSecurity>0</DocSecurity>
  <Lines>111</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0x0101000A888DA45AAC7D468C8CE2C5D475BCC1</vt:lpwstr>
  </property>
  <property fmtid="{D5CDD505-2E9C-101B-9397-08002B2CF9AE}" pid="3" name="Order">
    <vt:r8>502700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INITECH_CrossProcess">
    <vt:lpwstr/>
  </property>
  <property fmtid="{D5CDD505-2E9C-101B-9397-08002B2CF9AE}" pid="10" name="INITECH_VS_DocumentType">
    <vt:lpwstr/>
  </property>
  <property fmtid="{D5CDD505-2E9C-101B-9397-08002B2CF9AE}" pid="11" name="INITECH_ProjectProcess">
    <vt:lpwstr/>
  </property>
  <property fmtid="{D5CDD505-2E9C-101B-9397-08002B2CF9AE}" pid="12" name="MediaServiceImageTags">
    <vt:lpwstr/>
  </property>
</Properties>
</file>